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3EC" w:rsidRDefault="002863EC">
      <w:pPr>
        <w:widowControl w:val="0"/>
        <w:pBdr>
          <w:top w:val="nil"/>
          <w:left w:val="nil"/>
          <w:bottom w:val="nil"/>
          <w:right w:val="nil"/>
          <w:between w:val="nil"/>
        </w:pBdr>
        <w:spacing w:line="276" w:lineRule="auto"/>
        <w:rPr>
          <w:rFonts w:ascii="Arial" w:eastAsia="Arial" w:hAnsi="Arial" w:cs="Arial"/>
          <w:color w:val="000000"/>
          <w:sz w:val="2"/>
          <w:szCs w:val="2"/>
        </w:rPr>
      </w:pPr>
      <w:bookmarkStart w:id="0" w:name="_GoBack"/>
      <w:bookmarkEnd w:id="0"/>
    </w:p>
    <w:tbl>
      <w:tblPr>
        <w:tblStyle w:val="a"/>
        <w:tblW w:w="10515" w:type="dxa"/>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5"/>
        <w:gridCol w:w="1425"/>
        <w:gridCol w:w="765"/>
        <w:gridCol w:w="435"/>
        <w:gridCol w:w="1215"/>
        <w:gridCol w:w="765"/>
        <w:gridCol w:w="105"/>
        <w:gridCol w:w="1560"/>
        <w:gridCol w:w="390"/>
        <w:gridCol w:w="405"/>
        <w:gridCol w:w="1050"/>
        <w:gridCol w:w="1695"/>
      </w:tblGrid>
      <w:tr w:rsidR="002863EC">
        <w:trPr>
          <w:cantSplit/>
          <w:trHeight w:val="425"/>
        </w:trPr>
        <w:tc>
          <w:tcPr>
            <w:tcW w:w="10515" w:type="dxa"/>
            <w:gridSpan w:val="12"/>
            <w:shd w:val="clear" w:color="auto" w:fill="auto"/>
            <w:vAlign w:val="center"/>
          </w:tcPr>
          <w:p w:rsidR="002863EC" w:rsidRDefault="00991D45">
            <w:pPr>
              <w:jc w:val="both"/>
              <w:rPr>
                <w:rFonts w:ascii="Calibri" w:eastAsia="Calibri" w:hAnsi="Calibri" w:cs="Calibri"/>
                <w:b/>
                <w:bCs/>
                <w:color w:val="14067A"/>
                <w:sz w:val="20"/>
                <w:szCs w:val="20"/>
              </w:rPr>
            </w:pPr>
            <w:r>
              <w:rPr>
                <w:rFonts w:ascii="Calibri" w:eastAsia="Calibri" w:hAnsi="Calibri" w:cs="Calibri"/>
                <w:b/>
                <w:bCs/>
                <w:color w:val="14067A"/>
                <w:sz w:val="20"/>
                <w:szCs w:val="20"/>
              </w:rPr>
              <w:t>SÜREÇ BİLGİLERİ</w:t>
            </w:r>
          </w:p>
        </w:tc>
      </w:tr>
      <w:tr w:rsidR="002863EC">
        <w:trPr>
          <w:cantSplit/>
          <w:trHeight w:val="340"/>
        </w:trPr>
        <w:tc>
          <w:tcPr>
            <w:tcW w:w="2895" w:type="dxa"/>
            <w:gridSpan w:val="3"/>
            <w:tcMar>
              <w:left w:w="142" w:type="dxa"/>
            </w:tcMar>
            <w:vAlign w:val="center"/>
          </w:tcPr>
          <w:p w:rsidR="002863EC" w:rsidRDefault="00991D45">
            <w:pPr>
              <w:jc w:val="both"/>
              <w:rPr>
                <w:rFonts w:ascii="Calibri" w:eastAsia="Calibri" w:hAnsi="Calibri" w:cs="Calibri"/>
                <w:b/>
                <w:bCs/>
                <w:color w:val="002060"/>
                <w:sz w:val="20"/>
                <w:szCs w:val="20"/>
              </w:rPr>
            </w:pPr>
            <w:r>
              <w:rPr>
                <w:rFonts w:ascii="Calibri" w:eastAsia="Calibri" w:hAnsi="Calibri" w:cs="Calibri"/>
                <w:b/>
                <w:bCs/>
                <w:color w:val="002060"/>
                <w:sz w:val="20"/>
                <w:szCs w:val="20"/>
              </w:rPr>
              <w:t>KODU</w:t>
            </w:r>
          </w:p>
        </w:tc>
        <w:tc>
          <w:tcPr>
            <w:tcW w:w="7620" w:type="dxa"/>
            <w:gridSpan w:val="9"/>
            <w:tcMar>
              <w:left w:w="113" w:type="dxa"/>
            </w:tcMar>
            <w:vAlign w:val="center"/>
          </w:tcPr>
          <w:p w:rsidR="002863EC" w:rsidRDefault="00FF792F">
            <w:pPr>
              <w:jc w:val="both"/>
              <w:rPr>
                <w:rFonts w:ascii="Calibri" w:eastAsia="Calibri" w:hAnsi="Calibri" w:cs="Calibri"/>
                <w:smallCaps/>
                <w:sz w:val="20"/>
                <w:szCs w:val="20"/>
              </w:rPr>
            </w:pPr>
            <w:r>
              <w:rPr>
                <w:rFonts w:ascii="Calibri" w:eastAsia="Calibri" w:hAnsi="Calibri" w:cs="Calibri"/>
                <w:sz w:val="20"/>
                <w:szCs w:val="20"/>
              </w:rPr>
              <w:t>AD.FRM.13</w:t>
            </w:r>
          </w:p>
        </w:tc>
      </w:tr>
      <w:tr w:rsidR="002863EC">
        <w:trPr>
          <w:cantSplit/>
          <w:trHeight w:val="340"/>
        </w:trPr>
        <w:tc>
          <w:tcPr>
            <w:tcW w:w="2895" w:type="dxa"/>
            <w:gridSpan w:val="3"/>
            <w:tcMar>
              <w:left w:w="142" w:type="dxa"/>
            </w:tcMar>
            <w:vAlign w:val="center"/>
          </w:tcPr>
          <w:p w:rsidR="002863EC" w:rsidRDefault="00991D45">
            <w:pPr>
              <w:jc w:val="both"/>
              <w:rPr>
                <w:rFonts w:ascii="Calibri" w:eastAsia="Calibri" w:hAnsi="Calibri" w:cs="Calibri"/>
                <w:b/>
                <w:bCs/>
                <w:color w:val="002060"/>
                <w:sz w:val="20"/>
                <w:szCs w:val="20"/>
              </w:rPr>
            </w:pPr>
            <w:r>
              <w:rPr>
                <w:rFonts w:ascii="Calibri" w:eastAsia="Calibri" w:hAnsi="Calibri" w:cs="Calibri"/>
                <w:b/>
                <w:bCs/>
                <w:color w:val="002060"/>
                <w:sz w:val="20"/>
                <w:szCs w:val="20"/>
              </w:rPr>
              <w:t>ADI</w:t>
            </w:r>
          </w:p>
        </w:tc>
        <w:tc>
          <w:tcPr>
            <w:tcW w:w="7620" w:type="dxa"/>
            <w:gridSpan w:val="9"/>
            <w:tcMar>
              <w:left w:w="113" w:type="dxa"/>
            </w:tcMar>
            <w:vAlign w:val="center"/>
          </w:tcPr>
          <w:p w:rsidR="002863EC" w:rsidRDefault="00991D45">
            <w:pPr>
              <w:jc w:val="both"/>
              <w:rPr>
                <w:rFonts w:ascii="Calibri" w:eastAsia="Calibri" w:hAnsi="Calibri" w:cs="Calibri"/>
                <w:color w:val="000000"/>
                <w:sz w:val="20"/>
                <w:szCs w:val="20"/>
              </w:rPr>
            </w:pPr>
            <w:r>
              <w:rPr>
                <w:rFonts w:ascii="Calibri" w:eastAsia="Calibri" w:hAnsi="Calibri" w:cs="Calibri"/>
                <w:color w:val="000000"/>
                <w:sz w:val="20"/>
                <w:szCs w:val="20"/>
              </w:rPr>
              <w:t>ARGE Süreci</w:t>
            </w:r>
          </w:p>
        </w:tc>
      </w:tr>
      <w:tr w:rsidR="002863EC">
        <w:trPr>
          <w:cantSplit/>
          <w:trHeight w:val="340"/>
        </w:trPr>
        <w:tc>
          <w:tcPr>
            <w:tcW w:w="2895" w:type="dxa"/>
            <w:gridSpan w:val="3"/>
            <w:tcMar>
              <w:left w:w="142" w:type="dxa"/>
            </w:tcMar>
            <w:vAlign w:val="center"/>
          </w:tcPr>
          <w:p w:rsidR="002863EC" w:rsidRDefault="00991D45">
            <w:pPr>
              <w:jc w:val="both"/>
              <w:rPr>
                <w:rFonts w:ascii="Calibri" w:eastAsia="Calibri" w:hAnsi="Calibri" w:cs="Calibri"/>
                <w:b/>
                <w:bCs/>
                <w:color w:val="002060"/>
                <w:sz w:val="20"/>
                <w:szCs w:val="20"/>
              </w:rPr>
            </w:pPr>
            <w:r>
              <w:rPr>
                <w:rFonts w:ascii="Calibri" w:eastAsia="Calibri" w:hAnsi="Calibri" w:cs="Calibri"/>
                <w:b/>
                <w:bCs/>
                <w:color w:val="002060"/>
                <w:sz w:val="20"/>
                <w:szCs w:val="20"/>
              </w:rPr>
              <w:t>TÜRÜ</w:t>
            </w:r>
          </w:p>
        </w:tc>
        <w:tc>
          <w:tcPr>
            <w:tcW w:w="2415" w:type="dxa"/>
            <w:gridSpan w:val="3"/>
            <w:tcMar>
              <w:left w:w="113" w:type="dxa"/>
            </w:tcMar>
            <w:vAlign w:val="center"/>
          </w:tcPr>
          <w:p w:rsidR="002863EC" w:rsidRDefault="00991D45">
            <w:pPr>
              <w:spacing w:before="120" w:after="120"/>
              <w:ind w:right="566"/>
              <w:jc w:val="both"/>
              <w:rPr>
                <w:rFonts w:ascii="Calibri" w:eastAsia="Calibri" w:hAnsi="Calibri" w:cs="Calibri"/>
                <w:sz w:val="20"/>
                <w:szCs w:val="20"/>
              </w:rPr>
            </w:pPr>
            <w:bookmarkStart w:id="1" w:name="bookmark=id.v5taeycbn0o2" w:colFirst="0" w:colLast="0"/>
            <w:bookmarkEnd w:id="1"/>
            <w:r>
              <w:rPr>
                <w:rFonts w:ascii="Calibri" w:eastAsia="Calibri" w:hAnsi="Calibri" w:cs="Calibri"/>
                <w:sz w:val="20"/>
                <w:szCs w:val="20"/>
              </w:rPr>
              <w:t xml:space="preserve">☐ </w:t>
            </w:r>
            <w:r w:rsidR="00D339E2">
              <w:rPr>
                <w:rFonts w:ascii="Calibri" w:eastAsia="Calibri" w:hAnsi="Calibri" w:cs="Calibri"/>
                <w:sz w:val="20"/>
                <w:szCs w:val="20"/>
              </w:rPr>
              <w:t xml:space="preserve"> </w:t>
            </w:r>
            <w:r>
              <w:rPr>
                <w:rFonts w:ascii="Calibri" w:eastAsia="Calibri" w:hAnsi="Calibri" w:cs="Calibri"/>
                <w:sz w:val="20"/>
                <w:szCs w:val="20"/>
              </w:rPr>
              <w:t>Yönetim Süreci</w:t>
            </w:r>
          </w:p>
        </w:tc>
        <w:tc>
          <w:tcPr>
            <w:tcW w:w="2460" w:type="dxa"/>
            <w:gridSpan w:val="4"/>
            <w:vAlign w:val="center"/>
          </w:tcPr>
          <w:p w:rsidR="002863EC" w:rsidRDefault="00991D45">
            <w:pPr>
              <w:spacing w:before="120" w:after="120"/>
              <w:ind w:right="566"/>
              <w:jc w:val="both"/>
              <w:rPr>
                <w:rFonts w:ascii="Calibri" w:eastAsia="Calibri" w:hAnsi="Calibri" w:cs="Calibri"/>
                <w:sz w:val="20"/>
                <w:szCs w:val="20"/>
              </w:rPr>
            </w:pPr>
            <w:r>
              <w:rPr>
                <w:rFonts w:ascii="Calibri" w:eastAsia="Calibri" w:hAnsi="Calibri" w:cs="Calibri"/>
                <w:sz w:val="20"/>
                <w:szCs w:val="20"/>
              </w:rPr>
              <w:t xml:space="preserve">☒ </w:t>
            </w:r>
            <w:r w:rsidR="00D339E2">
              <w:rPr>
                <w:rFonts w:ascii="Calibri" w:eastAsia="Calibri" w:hAnsi="Calibri" w:cs="Calibri"/>
                <w:sz w:val="20"/>
                <w:szCs w:val="20"/>
              </w:rPr>
              <w:t xml:space="preserve"> </w:t>
            </w:r>
            <w:r>
              <w:rPr>
                <w:rFonts w:ascii="Calibri" w:eastAsia="Calibri" w:hAnsi="Calibri" w:cs="Calibri"/>
                <w:sz w:val="20"/>
                <w:szCs w:val="20"/>
              </w:rPr>
              <w:t>Temel Süreç</w:t>
            </w:r>
          </w:p>
        </w:tc>
        <w:tc>
          <w:tcPr>
            <w:tcW w:w="2745" w:type="dxa"/>
            <w:gridSpan w:val="2"/>
            <w:vAlign w:val="center"/>
          </w:tcPr>
          <w:p w:rsidR="002863EC" w:rsidRDefault="00991D45">
            <w:pPr>
              <w:spacing w:before="120" w:after="120"/>
              <w:ind w:right="566"/>
              <w:jc w:val="both"/>
              <w:rPr>
                <w:rFonts w:ascii="Calibri" w:eastAsia="Calibri" w:hAnsi="Calibri" w:cs="Calibri"/>
                <w:sz w:val="20"/>
                <w:szCs w:val="20"/>
              </w:rPr>
            </w:pPr>
            <w:bookmarkStart w:id="2" w:name="bookmark=id.6uyy4sh5yfjl" w:colFirst="0" w:colLast="0"/>
            <w:bookmarkEnd w:id="2"/>
            <w:r>
              <w:rPr>
                <w:rFonts w:ascii="Calibri" w:eastAsia="Calibri" w:hAnsi="Calibri" w:cs="Calibri"/>
                <w:sz w:val="20"/>
                <w:szCs w:val="20"/>
              </w:rPr>
              <w:t xml:space="preserve">☐ </w:t>
            </w:r>
            <w:r w:rsidR="00D339E2">
              <w:rPr>
                <w:rFonts w:ascii="Calibri" w:eastAsia="Calibri" w:hAnsi="Calibri" w:cs="Calibri"/>
                <w:sz w:val="20"/>
                <w:szCs w:val="20"/>
              </w:rPr>
              <w:t xml:space="preserve"> </w:t>
            </w:r>
            <w:r>
              <w:rPr>
                <w:rFonts w:ascii="Calibri" w:eastAsia="Calibri" w:hAnsi="Calibri" w:cs="Calibri"/>
                <w:sz w:val="20"/>
                <w:szCs w:val="20"/>
              </w:rPr>
              <w:t>Destek Süreç</w:t>
            </w:r>
          </w:p>
        </w:tc>
      </w:tr>
      <w:tr w:rsidR="002863EC">
        <w:trPr>
          <w:cantSplit/>
          <w:trHeight w:val="340"/>
        </w:trPr>
        <w:tc>
          <w:tcPr>
            <w:tcW w:w="2895" w:type="dxa"/>
            <w:gridSpan w:val="3"/>
            <w:tcMar>
              <w:left w:w="142" w:type="dxa"/>
            </w:tcMar>
            <w:vAlign w:val="center"/>
          </w:tcPr>
          <w:p w:rsidR="002863EC" w:rsidRDefault="00991D45">
            <w:pPr>
              <w:jc w:val="both"/>
              <w:rPr>
                <w:rFonts w:ascii="Calibri" w:eastAsia="Calibri" w:hAnsi="Calibri" w:cs="Calibri"/>
                <w:b/>
                <w:bCs/>
                <w:color w:val="002060"/>
                <w:sz w:val="20"/>
                <w:szCs w:val="20"/>
              </w:rPr>
            </w:pPr>
            <w:r>
              <w:rPr>
                <w:rFonts w:ascii="Calibri" w:eastAsia="Calibri" w:hAnsi="Calibri" w:cs="Calibri"/>
                <w:b/>
                <w:bCs/>
                <w:color w:val="002060"/>
                <w:sz w:val="20"/>
                <w:szCs w:val="20"/>
              </w:rPr>
              <w:t>KATEGORİSİ</w:t>
            </w:r>
          </w:p>
        </w:tc>
        <w:tc>
          <w:tcPr>
            <w:tcW w:w="7620" w:type="dxa"/>
            <w:gridSpan w:val="9"/>
            <w:tcMar>
              <w:left w:w="113" w:type="dxa"/>
            </w:tcMar>
            <w:vAlign w:val="center"/>
          </w:tcPr>
          <w:p w:rsidR="002863EC" w:rsidRDefault="00991D45">
            <w:pPr>
              <w:rPr>
                <w:rFonts w:ascii="Calibri" w:eastAsia="Calibri" w:hAnsi="Calibri" w:cs="Calibri"/>
                <w:sz w:val="20"/>
                <w:szCs w:val="20"/>
              </w:rPr>
            </w:pPr>
            <w:r>
              <w:rPr>
                <w:rFonts w:ascii="Calibri" w:eastAsia="Calibri" w:hAnsi="Calibri" w:cs="Calibri"/>
                <w:sz w:val="20"/>
                <w:szCs w:val="20"/>
              </w:rPr>
              <w:t>Araştırma ve Geliştirme Süreçleri</w:t>
            </w:r>
          </w:p>
        </w:tc>
      </w:tr>
      <w:tr w:rsidR="002863EC">
        <w:trPr>
          <w:cantSplit/>
          <w:trHeight w:val="340"/>
        </w:trPr>
        <w:tc>
          <w:tcPr>
            <w:tcW w:w="2895" w:type="dxa"/>
            <w:gridSpan w:val="3"/>
            <w:tcMar>
              <w:left w:w="142" w:type="dxa"/>
            </w:tcMar>
            <w:vAlign w:val="center"/>
          </w:tcPr>
          <w:p w:rsidR="002863EC" w:rsidRDefault="00991D45">
            <w:pPr>
              <w:jc w:val="both"/>
              <w:rPr>
                <w:rFonts w:ascii="Calibri" w:eastAsia="Calibri" w:hAnsi="Calibri" w:cs="Calibri"/>
                <w:b/>
                <w:bCs/>
                <w:color w:val="002060"/>
                <w:sz w:val="20"/>
                <w:szCs w:val="20"/>
              </w:rPr>
            </w:pPr>
            <w:r>
              <w:rPr>
                <w:rFonts w:ascii="Calibri" w:eastAsia="Calibri" w:hAnsi="Calibri" w:cs="Calibri"/>
                <w:b/>
                <w:bCs/>
                <w:color w:val="002060"/>
                <w:sz w:val="20"/>
                <w:szCs w:val="20"/>
              </w:rPr>
              <w:t>GRUBU</w:t>
            </w:r>
          </w:p>
        </w:tc>
        <w:tc>
          <w:tcPr>
            <w:tcW w:w="7620" w:type="dxa"/>
            <w:gridSpan w:val="9"/>
            <w:tcMar>
              <w:left w:w="113" w:type="dxa"/>
            </w:tcMar>
            <w:vAlign w:val="center"/>
          </w:tcPr>
          <w:p w:rsidR="002863EC" w:rsidRDefault="00991D45">
            <w:pPr>
              <w:rPr>
                <w:rFonts w:ascii="Calibri" w:eastAsia="Calibri" w:hAnsi="Calibri" w:cs="Calibri"/>
                <w:sz w:val="20"/>
                <w:szCs w:val="20"/>
              </w:rPr>
            </w:pPr>
            <w:r>
              <w:rPr>
                <w:rFonts w:ascii="Calibri" w:eastAsia="Calibri" w:hAnsi="Calibri" w:cs="Calibri"/>
                <w:sz w:val="20"/>
                <w:szCs w:val="20"/>
              </w:rPr>
              <w:t>Araştırma ve Geliştirme Tema Grubu Süreçleri</w:t>
            </w:r>
          </w:p>
        </w:tc>
      </w:tr>
      <w:tr w:rsidR="002863EC">
        <w:trPr>
          <w:cantSplit/>
          <w:trHeight w:val="425"/>
        </w:trPr>
        <w:tc>
          <w:tcPr>
            <w:tcW w:w="10515" w:type="dxa"/>
            <w:gridSpan w:val="12"/>
            <w:shd w:val="clear" w:color="auto" w:fill="auto"/>
            <w:vAlign w:val="center"/>
          </w:tcPr>
          <w:p w:rsidR="002863EC" w:rsidRDefault="00991D45">
            <w:pPr>
              <w:jc w:val="both"/>
              <w:rPr>
                <w:rFonts w:ascii="Calibri" w:eastAsia="Calibri" w:hAnsi="Calibri" w:cs="Calibri"/>
                <w:b/>
                <w:bCs/>
                <w:color w:val="14067A"/>
                <w:sz w:val="20"/>
                <w:szCs w:val="20"/>
              </w:rPr>
            </w:pPr>
            <w:r>
              <w:rPr>
                <w:rFonts w:ascii="Calibri" w:eastAsia="Calibri" w:hAnsi="Calibri" w:cs="Calibri"/>
                <w:b/>
                <w:bCs/>
                <w:color w:val="14067A"/>
                <w:sz w:val="20"/>
                <w:szCs w:val="20"/>
              </w:rPr>
              <w:t xml:space="preserve"> SÜRECİN ÖZET TANIMI</w:t>
            </w:r>
          </w:p>
        </w:tc>
      </w:tr>
      <w:tr w:rsidR="002863EC">
        <w:trPr>
          <w:cantSplit/>
          <w:trHeight w:val="510"/>
        </w:trPr>
        <w:tc>
          <w:tcPr>
            <w:tcW w:w="10515" w:type="dxa"/>
            <w:gridSpan w:val="12"/>
            <w:vAlign w:val="center"/>
          </w:tcPr>
          <w:p w:rsidR="002863EC" w:rsidRDefault="00991D45">
            <w:pPr>
              <w:tabs>
                <w:tab w:val="left" w:pos="4253"/>
              </w:tabs>
              <w:spacing w:before="120" w:after="120"/>
              <w:jc w:val="both"/>
              <w:rPr>
                <w:rFonts w:ascii="Calibri" w:eastAsia="Calibri" w:hAnsi="Calibri" w:cs="Calibri"/>
                <w:sz w:val="20"/>
                <w:szCs w:val="20"/>
              </w:rPr>
            </w:pPr>
            <w:r>
              <w:rPr>
                <w:rFonts w:ascii="Calibri" w:eastAsia="Calibri" w:hAnsi="Calibri" w:cs="Calibri"/>
                <w:sz w:val="20"/>
                <w:szCs w:val="20"/>
              </w:rPr>
              <w:t>Erciyes Üniversitesi Ar-Ge Süreci; üniversitenin araştırma ve geliştirme faaliyetlerinin stratejik hedefler doğrultusunda planlanması, koordine edilmesi, desteklenmesi, izlenmesi, değerlendirilmesi ve sürekli iyileştirilmesini kapsayan bütünleşik bir yönetim sürecidir.</w:t>
            </w:r>
          </w:p>
          <w:p w:rsidR="002863EC" w:rsidRDefault="00991D45">
            <w:pPr>
              <w:tabs>
                <w:tab w:val="left" w:pos="4253"/>
              </w:tabs>
              <w:spacing w:before="120" w:after="120"/>
              <w:jc w:val="both"/>
              <w:rPr>
                <w:rFonts w:ascii="Calibri" w:eastAsia="Calibri" w:hAnsi="Calibri" w:cs="Calibri"/>
                <w:sz w:val="20"/>
                <w:szCs w:val="20"/>
              </w:rPr>
            </w:pPr>
            <w:r>
              <w:rPr>
                <w:rFonts w:ascii="Calibri" w:eastAsia="Calibri" w:hAnsi="Calibri" w:cs="Calibri"/>
                <w:sz w:val="20"/>
                <w:szCs w:val="20"/>
              </w:rPr>
              <w:t>Süreç kapsamında araştırma politikalarının ve öncelikli alanların belirlenmesi, araştırmacıların proje geliştirme ve dış kaynaklı fonlara erişimlerinin desteklenmesi, ulusal ve uluslararası işbirliklerinin geliştirilmesi, araştırma gruplarının etkinliğinin artırılması, bilimsel yayın, proje, patent ve diğer araştırma çıktılarının izlenmesi ile araştırma performansının değerlendirilmesi faaliyetleri yürütülmektedir.</w:t>
            </w:r>
          </w:p>
          <w:p w:rsidR="002863EC" w:rsidRDefault="00991D45">
            <w:pPr>
              <w:tabs>
                <w:tab w:val="left" w:pos="4253"/>
              </w:tabs>
              <w:spacing w:before="120" w:after="120"/>
              <w:jc w:val="both"/>
              <w:rPr>
                <w:rFonts w:ascii="Calibri" w:eastAsia="Calibri" w:hAnsi="Calibri" w:cs="Calibri"/>
                <w:sz w:val="20"/>
                <w:szCs w:val="20"/>
              </w:rPr>
            </w:pPr>
            <w:r>
              <w:rPr>
                <w:rFonts w:ascii="Calibri" w:eastAsia="Calibri" w:hAnsi="Calibri" w:cs="Calibri"/>
                <w:sz w:val="20"/>
                <w:szCs w:val="20"/>
              </w:rPr>
              <w:t>Araştırma Dekanlığı koordinasyonunda; Araştırma Grupları Koordinasyon Ofisi, Proje Geliştirme ve Destek Ofisleri, Veri Yönetimi ve Analitiği Birimleri, Erciyes Teknoloji Transfer Ofisi, Bilimsel Araştırma Projeleri Koordinatörlüğü ve ilgili akademik birimlerin katkılarıyla araştırma ekosisteminin güçlendirilmesi sağlanmaktadır.</w:t>
            </w:r>
          </w:p>
          <w:p w:rsidR="002863EC" w:rsidRDefault="00991D45">
            <w:pPr>
              <w:tabs>
                <w:tab w:val="left" w:pos="4253"/>
              </w:tabs>
              <w:spacing w:before="120" w:after="120"/>
              <w:jc w:val="both"/>
              <w:rPr>
                <w:rFonts w:ascii="Calibri" w:eastAsia="Calibri" w:hAnsi="Calibri" w:cs="Calibri"/>
                <w:sz w:val="20"/>
                <w:szCs w:val="20"/>
              </w:rPr>
            </w:pPr>
            <w:r>
              <w:rPr>
                <w:rFonts w:ascii="Calibri" w:eastAsia="Calibri" w:hAnsi="Calibri" w:cs="Calibri"/>
                <w:sz w:val="20"/>
                <w:szCs w:val="20"/>
              </w:rPr>
              <w:t>Süreç sonunda araştırma kapasitesinin geliştirilmesi, bilimsel çıktıların nitelik ve niceliğinin artırılması, dış kaynaklı proje ve fonların yükseltilmesi, üniversite-sanayi-kamu iş birliklerinin güçlendirilmesi, fikri mülkiyet çıktılarının artırılması ve kurumsal araştırma performansının sürdürülebilir şekilde iyileştirilmesi hedeflenmektedir.</w:t>
            </w:r>
          </w:p>
        </w:tc>
      </w:tr>
      <w:tr w:rsidR="002863EC">
        <w:trPr>
          <w:cantSplit/>
          <w:trHeight w:val="425"/>
        </w:trPr>
        <w:tc>
          <w:tcPr>
            <w:tcW w:w="10515" w:type="dxa"/>
            <w:gridSpan w:val="12"/>
            <w:shd w:val="clear" w:color="auto" w:fill="auto"/>
            <w:vAlign w:val="center"/>
          </w:tcPr>
          <w:p w:rsidR="002863EC" w:rsidRDefault="00991D45">
            <w:pPr>
              <w:jc w:val="both"/>
              <w:rPr>
                <w:rFonts w:ascii="Calibri" w:eastAsia="Calibri" w:hAnsi="Calibri" w:cs="Calibri"/>
                <w:b/>
                <w:bCs/>
                <w:color w:val="14067A"/>
                <w:sz w:val="20"/>
                <w:szCs w:val="20"/>
              </w:rPr>
            </w:pPr>
            <w:r>
              <w:rPr>
                <w:rFonts w:ascii="Calibri" w:eastAsia="Calibri" w:hAnsi="Calibri" w:cs="Calibri"/>
                <w:b/>
                <w:bCs/>
                <w:color w:val="14067A"/>
                <w:sz w:val="20"/>
                <w:szCs w:val="20"/>
              </w:rPr>
              <w:t xml:space="preserve"> SÜREÇ KATILIMCILARI</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t>SÜREÇ SAHİBİ</w:t>
            </w:r>
          </w:p>
        </w:tc>
        <w:tc>
          <w:tcPr>
            <w:tcW w:w="7185" w:type="dxa"/>
            <w:gridSpan w:val="8"/>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 xml:space="preserve">Rektör, Rektör Yardımcısı, Araştırma Dekanı, Dekan Yardımcıları </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t>SÜREÇ SORUMLULARI</w:t>
            </w:r>
          </w:p>
        </w:tc>
        <w:tc>
          <w:tcPr>
            <w:tcW w:w="7185" w:type="dxa"/>
            <w:gridSpan w:val="8"/>
            <w:vAlign w:val="center"/>
          </w:tcPr>
          <w:p w:rsidR="002863EC" w:rsidRDefault="00991D45">
            <w:pPr>
              <w:jc w:val="both"/>
              <w:rPr>
                <w:rFonts w:ascii="Calibri" w:eastAsia="Calibri" w:hAnsi="Calibri" w:cs="Calibri"/>
                <w:color w:val="FF0000"/>
                <w:sz w:val="20"/>
                <w:szCs w:val="20"/>
              </w:rPr>
            </w:pPr>
            <w:r>
              <w:rPr>
                <w:rFonts w:ascii="Calibri" w:eastAsia="Calibri" w:hAnsi="Calibri" w:cs="Calibri"/>
                <w:sz w:val="20"/>
                <w:szCs w:val="20"/>
              </w:rPr>
              <w:t>Araştırma Dekanı, Dekan Yardımcıları</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t>PAYDAŞLAR</w:t>
            </w:r>
          </w:p>
        </w:tc>
        <w:tc>
          <w:tcPr>
            <w:tcW w:w="7185" w:type="dxa"/>
            <w:gridSpan w:val="8"/>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Araştırma Dekanlığı, UYGAR Merkezleri, Akademik ve İdari Birimler, Öğrenciler, Kamu/Özel Kurum ve Kuruluşlar, Teknopark A.Ş., STK’lar.</w:t>
            </w:r>
          </w:p>
        </w:tc>
      </w:tr>
      <w:tr w:rsidR="002863EC">
        <w:trPr>
          <w:cantSplit/>
          <w:trHeight w:val="425"/>
        </w:trPr>
        <w:tc>
          <w:tcPr>
            <w:tcW w:w="10515" w:type="dxa"/>
            <w:gridSpan w:val="12"/>
            <w:shd w:val="clear" w:color="auto" w:fill="auto"/>
            <w:vAlign w:val="center"/>
          </w:tcPr>
          <w:p w:rsidR="002863EC" w:rsidRDefault="00991D45">
            <w:pPr>
              <w:jc w:val="both"/>
              <w:rPr>
                <w:rFonts w:ascii="Calibri" w:eastAsia="Calibri" w:hAnsi="Calibri" w:cs="Calibri"/>
                <w:b/>
                <w:bCs/>
                <w:color w:val="14067A"/>
                <w:sz w:val="20"/>
                <w:szCs w:val="20"/>
              </w:rPr>
            </w:pPr>
            <w:r>
              <w:rPr>
                <w:rFonts w:ascii="Calibri" w:eastAsia="Calibri" w:hAnsi="Calibri" w:cs="Calibri"/>
                <w:b/>
                <w:bCs/>
                <w:color w:val="14067A"/>
                <w:sz w:val="20"/>
                <w:szCs w:val="20"/>
              </w:rPr>
              <w:t xml:space="preserve"> SÜREÇ UNSURLARI</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t>GİRDİLER</w:t>
            </w:r>
          </w:p>
        </w:tc>
        <w:tc>
          <w:tcPr>
            <w:tcW w:w="7185" w:type="dxa"/>
            <w:gridSpan w:val="8"/>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Üniversite Stratejik Planı</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 Politikası</w:t>
            </w:r>
          </w:p>
          <w:p w:rsidR="002863EC" w:rsidRDefault="00991D45">
            <w:pPr>
              <w:jc w:val="both"/>
              <w:rPr>
                <w:rFonts w:ascii="Calibri" w:eastAsia="Calibri" w:hAnsi="Calibri" w:cs="Calibri"/>
                <w:sz w:val="20"/>
                <w:szCs w:val="20"/>
              </w:rPr>
            </w:pPr>
            <w:r>
              <w:rPr>
                <w:rFonts w:ascii="Calibri" w:eastAsia="Calibri" w:hAnsi="Calibri" w:cs="Calibri"/>
                <w:sz w:val="20"/>
                <w:szCs w:val="20"/>
              </w:rPr>
              <w:t>YÖK, TÜBİTAK, TÜSEB, AB gibi fon sağlayıcı kuruluşların program ve çağrıları</w:t>
            </w:r>
          </w:p>
          <w:p w:rsidR="002863EC" w:rsidRDefault="00991D45">
            <w:pPr>
              <w:jc w:val="both"/>
              <w:rPr>
                <w:rFonts w:ascii="Calibri" w:eastAsia="Calibri" w:hAnsi="Calibri" w:cs="Calibri"/>
                <w:sz w:val="20"/>
                <w:szCs w:val="20"/>
              </w:rPr>
            </w:pPr>
            <w:r>
              <w:rPr>
                <w:rFonts w:ascii="Calibri" w:eastAsia="Calibri" w:hAnsi="Calibri" w:cs="Calibri"/>
                <w:sz w:val="20"/>
                <w:szCs w:val="20"/>
              </w:rPr>
              <w:t>Ulusal ve uluslararası araştırma ve yenilik politikaları</w:t>
            </w:r>
          </w:p>
          <w:p w:rsidR="002863EC" w:rsidRDefault="00991D45">
            <w:pPr>
              <w:jc w:val="both"/>
              <w:rPr>
                <w:rFonts w:ascii="Calibri" w:eastAsia="Calibri" w:hAnsi="Calibri" w:cs="Calibri"/>
                <w:sz w:val="20"/>
                <w:szCs w:val="20"/>
              </w:rPr>
            </w:pPr>
            <w:r>
              <w:rPr>
                <w:rFonts w:ascii="Calibri" w:eastAsia="Calibri" w:hAnsi="Calibri" w:cs="Calibri"/>
                <w:sz w:val="20"/>
                <w:szCs w:val="20"/>
              </w:rPr>
              <w:t>Akademik birimlerden gelen araştırma, proje ve iş birliği önerileri</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 performans verileri (yayın, atıf, proje, patent vb.)</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Araştırmacı, öğrenci ve paydaş talepleri</w:t>
            </w:r>
          </w:p>
          <w:p w:rsidR="002863EC" w:rsidRDefault="00991D45">
            <w:pPr>
              <w:jc w:val="both"/>
              <w:rPr>
                <w:rFonts w:ascii="Calibri" w:eastAsia="Calibri" w:hAnsi="Calibri" w:cs="Calibri"/>
                <w:sz w:val="20"/>
                <w:szCs w:val="20"/>
              </w:rPr>
            </w:pPr>
            <w:r>
              <w:rPr>
                <w:rFonts w:ascii="Calibri" w:eastAsia="Calibri" w:hAnsi="Calibri" w:cs="Calibri"/>
                <w:sz w:val="20"/>
                <w:szCs w:val="20"/>
              </w:rPr>
              <w:t>Üniversite-sanayi-kamu iş birliği talepleri</w:t>
            </w:r>
          </w:p>
          <w:p w:rsidR="002863EC" w:rsidRDefault="00991D45">
            <w:pPr>
              <w:jc w:val="both"/>
              <w:rPr>
                <w:rFonts w:ascii="Calibri" w:eastAsia="Calibri" w:hAnsi="Calibri" w:cs="Calibri"/>
                <w:sz w:val="20"/>
                <w:szCs w:val="20"/>
              </w:rPr>
            </w:pPr>
            <w:r>
              <w:rPr>
                <w:rFonts w:ascii="Calibri" w:eastAsia="Calibri" w:hAnsi="Calibri" w:cs="Calibri"/>
                <w:sz w:val="20"/>
                <w:szCs w:val="20"/>
              </w:rPr>
              <w:t>İç ve dış paydaş geri bildirimleri</w:t>
            </w:r>
          </w:p>
          <w:p w:rsidR="002863EC" w:rsidRDefault="00991D45">
            <w:pPr>
              <w:jc w:val="both"/>
              <w:rPr>
                <w:rFonts w:ascii="Calibri" w:eastAsia="Calibri" w:hAnsi="Calibri" w:cs="Calibri"/>
                <w:sz w:val="20"/>
                <w:szCs w:val="20"/>
              </w:rPr>
            </w:pPr>
            <w:r>
              <w:rPr>
                <w:rFonts w:ascii="Calibri" w:eastAsia="Calibri" w:hAnsi="Calibri" w:cs="Calibri"/>
                <w:sz w:val="20"/>
                <w:szCs w:val="20"/>
              </w:rPr>
              <w:t>Kurumsal araştırma veri tabanı verileri</w:t>
            </w:r>
          </w:p>
          <w:p w:rsidR="002863EC" w:rsidRDefault="00991D45">
            <w:pPr>
              <w:jc w:val="both"/>
              <w:rPr>
                <w:rFonts w:ascii="Calibri" w:eastAsia="Calibri" w:hAnsi="Calibri" w:cs="Calibri"/>
                <w:sz w:val="20"/>
                <w:szCs w:val="20"/>
              </w:rPr>
            </w:pPr>
            <w:r>
              <w:rPr>
                <w:rFonts w:ascii="Calibri" w:eastAsia="Calibri" w:hAnsi="Calibri" w:cs="Calibri"/>
                <w:sz w:val="20"/>
                <w:szCs w:val="20"/>
              </w:rPr>
              <w:t>Bütçe ve kaynak planlama verileri</w:t>
            </w:r>
          </w:p>
          <w:p w:rsidR="002863EC" w:rsidRDefault="00991D45">
            <w:pPr>
              <w:jc w:val="both"/>
              <w:rPr>
                <w:rFonts w:ascii="Calibri" w:eastAsia="Calibri" w:hAnsi="Calibri" w:cs="Calibri"/>
                <w:sz w:val="20"/>
                <w:szCs w:val="20"/>
              </w:rPr>
            </w:pPr>
            <w:r>
              <w:rPr>
                <w:rFonts w:ascii="Calibri" w:eastAsia="Calibri" w:hAnsi="Calibri" w:cs="Calibri"/>
                <w:sz w:val="20"/>
                <w:szCs w:val="20"/>
              </w:rPr>
              <w:t>Ulusal ve uluslararası sıralama kuruluşlarının veri talepleri</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lastRenderedPageBreak/>
              <w:t>KAYNAKLAR</w:t>
            </w:r>
          </w:p>
        </w:tc>
        <w:tc>
          <w:tcPr>
            <w:tcW w:w="7185" w:type="dxa"/>
            <w:gridSpan w:val="8"/>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AR-GE Tema Grubu üyeleri (akademik ve idari personel)</w:t>
            </w:r>
          </w:p>
          <w:p w:rsidR="002863EC" w:rsidRDefault="00991D45">
            <w:pPr>
              <w:jc w:val="both"/>
              <w:rPr>
                <w:rFonts w:ascii="Calibri" w:eastAsia="Calibri" w:hAnsi="Calibri" w:cs="Calibri"/>
                <w:sz w:val="20"/>
                <w:szCs w:val="20"/>
              </w:rPr>
            </w:pPr>
            <w:r>
              <w:rPr>
                <w:rFonts w:ascii="Calibri" w:eastAsia="Calibri" w:hAnsi="Calibri" w:cs="Calibri"/>
                <w:sz w:val="20"/>
                <w:szCs w:val="20"/>
              </w:rPr>
              <w:t>Üniversite yönetimi ve ilgili kurul/komisyonlar</w:t>
            </w:r>
          </w:p>
          <w:p w:rsidR="002863EC" w:rsidRDefault="00991D45">
            <w:pPr>
              <w:jc w:val="both"/>
              <w:rPr>
                <w:rFonts w:ascii="Calibri" w:eastAsia="Calibri" w:hAnsi="Calibri" w:cs="Calibri"/>
                <w:sz w:val="20"/>
                <w:szCs w:val="20"/>
              </w:rPr>
            </w:pPr>
            <w:r>
              <w:rPr>
                <w:rFonts w:ascii="Calibri" w:eastAsia="Calibri" w:hAnsi="Calibri" w:cs="Calibri"/>
                <w:sz w:val="20"/>
                <w:szCs w:val="20"/>
              </w:rPr>
              <w:t>Erciyes Üniversitesi Bilgi İşlem altyapısı ve dijital sistemleri</w:t>
            </w:r>
          </w:p>
          <w:p w:rsidR="002863EC" w:rsidRDefault="00991D45">
            <w:pPr>
              <w:jc w:val="both"/>
              <w:rPr>
                <w:rFonts w:ascii="Calibri" w:eastAsia="Calibri" w:hAnsi="Calibri" w:cs="Calibri"/>
                <w:sz w:val="20"/>
                <w:szCs w:val="20"/>
              </w:rPr>
            </w:pPr>
            <w:r>
              <w:rPr>
                <w:rFonts w:ascii="Calibri" w:eastAsia="Calibri" w:hAnsi="Calibri" w:cs="Calibri"/>
                <w:sz w:val="20"/>
                <w:szCs w:val="20"/>
              </w:rPr>
              <w:t>Proje ofisleri ve araştırma destek birimleri</w:t>
            </w:r>
          </w:p>
          <w:p w:rsidR="002863EC" w:rsidRDefault="00991D45">
            <w:pPr>
              <w:jc w:val="both"/>
              <w:rPr>
                <w:rFonts w:ascii="Calibri" w:eastAsia="Calibri" w:hAnsi="Calibri" w:cs="Calibri"/>
                <w:sz w:val="20"/>
                <w:szCs w:val="20"/>
              </w:rPr>
            </w:pPr>
            <w:r>
              <w:rPr>
                <w:rFonts w:ascii="Calibri" w:eastAsia="Calibri" w:hAnsi="Calibri" w:cs="Calibri"/>
                <w:sz w:val="20"/>
                <w:szCs w:val="20"/>
              </w:rPr>
              <w:t>Fiziksel altyapı (laboratuvarlar, araştırma merkezleri, ofisler)</w:t>
            </w:r>
          </w:p>
          <w:p w:rsidR="002863EC" w:rsidRDefault="00991D45">
            <w:pPr>
              <w:jc w:val="both"/>
              <w:rPr>
                <w:rFonts w:ascii="Calibri" w:eastAsia="Calibri" w:hAnsi="Calibri" w:cs="Calibri"/>
                <w:sz w:val="20"/>
                <w:szCs w:val="20"/>
              </w:rPr>
            </w:pPr>
            <w:r>
              <w:rPr>
                <w:rFonts w:ascii="Calibri" w:eastAsia="Calibri" w:hAnsi="Calibri" w:cs="Calibri"/>
                <w:sz w:val="20"/>
                <w:szCs w:val="20"/>
              </w:rPr>
              <w:t>Bütçe ve finansal kaynaklar</w:t>
            </w:r>
          </w:p>
          <w:p w:rsidR="002863EC" w:rsidRDefault="00991D45">
            <w:pPr>
              <w:jc w:val="both"/>
              <w:rPr>
                <w:rFonts w:ascii="Calibri" w:eastAsia="Calibri" w:hAnsi="Calibri" w:cs="Calibri"/>
                <w:sz w:val="20"/>
                <w:szCs w:val="20"/>
              </w:rPr>
            </w:pPr>
            <w:r>
              <w:rPr>
                <w:rFonts w:ascii="Calibri" w:eastAsia="Calibri" w:hAnsi="Calibri" w:cs="Calibri"/>
                <w:sz w:val="20"/>
                <w:szCs w:val="20"/>
              </w:rPr>
              <w:t>İnsan kaynağı (araştırmacılar, proje yürütücüleri, öğrenci araştırmacılar)</w:t>
            </w:r>
          </w:p>
          <w:p w:rsidR="002863EC" w:rsidRDefault="00991D45">
            <w:pPr>
              <w:jc w:val="both"/>
              <w:rPr>
                <w:rFonts w:ascii="Calibri" w:eastAsia="Calibri" w:hAnsi="Calibri" w:cs="Calibri"/>
                <w:sz w:val="20"/>
                <w:szCs w:val="20"/>
              </w:rPr>
            </w:pPr>
            <w:r>
              <w:rPr>
                <w:rFonts w:ascii="Calibri" w:eastAsia="Calibri" w:hAnsi="Calibri" w:cs="Calibri"/>
                <w:sz w:val="20"/>
                <w:szCs w:val="20"/>
              </w:rPr>
              <w:t>Kurumsal politika ve yönergeler</w:t>
            </w:r>
          </w:p>
          <w:p w:rsidR="002863EC" w:rsidRDefault="00991D45">
            <w:pPr>
              <w:jc w:val="both"/>
              <w:rPr>
                <w:rFonts w:ascii="Calibri" w:eastAsia="Calibri" w:hAnsi="Calibri" w:cs="Calibri"/>
                <w:sz w:val="20"/>
                <w:szCs w:val="20"/>
              </w:rPr>
            </w:pPr>
            <w:r>
              <w:rPr>
                <w:rFonts w:ascii="Calibri" w:eastAsia="Calibri" w:hAnsi="Calibri" w:cs="Calibri"/>
                <w:sz w:val="20"/>
                <w:szCs w:val="20"/>
              </w:rPr>
              <w:t>İletişim ve koordinasyon araçları (toplantı sistemleri, yazılım platformları vb.)</w:t>
            </w:r>
          </w:p>
          <w:p w:rsidR="002863EC" w:rsidRDefault="00991D45">
            <w:pPr>
              <w:jc w:val="both"/>
              <w:rPr>
                <w:rFonts w:ascii="Calibri" w:eastAsia="Calibri" w:hAnsi="Calibri" w:cs="Calibri"/>
                <w:sz w:val="20"/>
                <w:szCs w:val="20"/>
              </w:rPr>
            </w:pPr>
            <w:r>
              <w:rPr>
                <w:rFonts w:ascii="Calibri" w:eastAsia="Calibri" w:hAnsi="Calibri" w:cs="Calibri"/>
                <w:sz w:val="20"/>
                <w:szCs w:val="20"/>
              </w:rPr>
              <w:t>Dış paydaşlar (sanayi kuruluşları, TÜBİTAK, AB proje ofisleri vb.)</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t>ÇIKTILAR</w:t>
            </w:r>
          </w:p>
        </w:tc>
        <w:tc>
          <w:tcPr>
            <w:tcW w:w="7185" w:type="dxa"/>
            <w:gridSpan w:val="8"/>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Araştırma faaliyetlerine yönelik eylem planları</w:t>
            </w:r>
          </w:p>
          <w:p w:rsidR="002863EC" w:rsidRDefault="00991D45">
            <w:pPr>
              <w:jc w:val="both"/>
              <w:rPr>
                <w:rFonts w:ascii="Calibri" w:eastAsia="Calibri" w:hAnsi="Calibri" w:cs="Calibri"/>
                <w:sz w:val="20"/>
                <w:szCs w:val="20"/>
              </w:rPr>
            </w:pPr>
            <w:r>
              <w:rPr>
                <w:rFonts w:ascii="Calibri" w:eastAsia="Calibri" w:hAnsi="Calibri" w:cs="Calibri"/>
                <w:sz w:val="20"/>
                <w:szCs w:val="20"/>
              </w:rPr>
              <w:t>Ulusal ve uluslararası proje başvuruları</w:t>
            </w:r>
          </w:p>
          <w:p w:rsidR="002863EC" w:rsidRDefault="00991D45">
            <w:pPr>
              <w:jc w:val="both"/>
              <w:rPr>
                <w:rFonts w:ascii="Calibri" w:eastAsia="Calibri" w:hAnsi="Calibri" w:cs="Calibri"/>
                <w:sz w:val="20"/>
                <w:szCs w:val="20"/>
              </w:rPr>
            </w:pPr>
            <w:r>
              <w:rPr>
                <w:rFonts w:ascii="Calibri" w:eastAsia="Calibri" w:hAnsi="Calibri" w:cs="Calibri"/>
                <w:sz w:val="20"/>
                <w:szCs w:val="20"/>
              </w:rPr>
              <w:t>Desteklenen araştırma projeleri</w:t>
            </w:r>
          </w:p>
          <w:p w:rsidR="002863EC" w:rsidRDefault="00991D45">
            <w:pPr>
              <w:jc w:val="both"/>
              <w:rPr>
                <w:rFonts w:ascii="Calibri" w:eastAsia="Calibri" w:hAnsi="Calibri" w:cs="Calibri"/>
                <w:sz w:val="20"/>
                <w:szCs w:val="20"/>
              </w:rPr>
            </w:pPr>
            <w:r>
              <w:rPr>
                <w:rFonts w:ascii="Calibri" w:eastAsia="Calibri" w:hAnsi="Calibri" w:cs="Calibri"/>
                <w:sz w:val="20"/>
                <w:szCs w:val="20"/>
              </w:rPr>
              <w:t>Bilimsel yayınlar, atıflar ve akademik çıktılar</w:t>
            </w:r>
          </w:p>
          <w:p w:rsidR="002863EC" w:rsidRDefault="00991D45">
            <w:pPr>
              <w:jc w:val="both"/>
              <w:rPr>
                <w:rFonts w:ascii="Calibri" w:eastAsia="Calibri" w:hAnsi="Calibri" w:cs="Calibri"/>
                <w:sz w:val="20"/>
                <w:szCs w:val="20"/>
              </w:rPr>
            </w:pPr>
            <w:r>
              <w:rPr>
                <w:rFonts w:ascii="Calibri" w:eastAsia="Calibri" w:hAnsi="Calibri" w:cs="Calibri"/>
                <w:sz w:val="20"/>
                <w:szCs w:val="20"/>
              </w:rPr>
              <w:t>Patent, faydalı model, marka ve diğer fikri mülkiyet çıktıları</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 iş birlikleri ve protokoller</w:t>
            </w:r>
          </w:p>
          <w:p w:rsidR="002863EC" w:rsidRDefault="00991D45">
            <w:pPr>
              <w:jc w:val="both"/>
              <w:rPr>
                <w:rFonts w:ascii="Calibri" w:eastAsia="Calibri" w:hAnsi="Calibri" w:cs="Calibri"/>
                <w:sz w:val="20"/>
                <w:szCs w:val="20"/>
              </w:rPr>
            </w:pPr>
            <w:r>
              <w:rPr>
                <w:rFonts w:ascii="Calibri" w:eastAsia="Calibri" w:hAnsi="Calibri" w:cs="Calibri"/>
                <w:sz w:val="20"/>
                <w:szCs w:val="20"/>
              </w:rPr>
              <w:t>Üniversite-sanayi-kamu iş birliği projeleri</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 performans analiz ve değerlendirme raporları</w:t>
            </w:r>
          </w:p>
          <w:p w:rsidR="002863EC" w:rsidRDefault="00991D45">
            <w:pPr>
              <w:jc w:val="both"/>
              <w:rPr>
                <w:rFonts w:ascii="Calibri" w:eastAsia="Calibri" w:hAnsi="Calibri" w:cs="Calibri"/>
                <w:sz w:val="20"/>
                <w:szCs w:val="20"/>
              </w:rPr>
            </w:pPr>
            <w:r>
              <w:rPr>
                <w:rFonts w:ascii="Calibri" w:eastAsia="Calibri" w:hAnsi="Calibri" w:cs="Calibri"/>
                <w:sz w:val="20"/>
                <w:szCs w:val="20"/>
              </w:rPr>
              <w:t>Kurumsal araştırma performans göstergeleri</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Araştırmacılara yönelik teşvik ve ödül uygulamaları</w:t>
            </w:r>
          </w:p>
          <w:p w:rsidR="002863EC" w:rsidRDefault="00991D45">
            <w:pPr>
              <w:jc w:val="both"/>
              <w:rPr>
                <w:rFonts w:ascii="Calibri" w:eastAsia="Calibri" w:hAnsi="Calibri" w:cs="Calibri"/>
                <w:sz w:val="20"/>
                <w:szCs w:val="20"/>
              </w:rPr>
            </w:pPr>
            <w:r>
              <w:rPr>
                <w:rFonts w:ascii="Calibri" w:eastAsia="Calibri" w:hAnsi="Calibri" w:cs="Calibri"/>
                <w:sz w:val="20"/>
                <w:szCs w:val="20"/>
              </w:rPr>
              <w:t>Ulusal ve uluslararası sıralama süreçlerine yönelik raporlamalar</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 kapasitesi ve görünürlüğünün artırılması</w:t>
            </w:r>
          </w:p>
          <w:p w:rsidR="002863EC" w:rsidRDefault="00991D45">
            <w:pPr>
              <w:jc w:val="both"/>
              <w:rPr>
                <w:rFonts w:ascii="Calibri" w:eastAsia="Calibri" w:hAnsi="Calibri" w:cs="Calibri"/>
                <w:sz w:val="20"/>
                <w:szCs w:val="20"/>
              </w:rPr>
            </w:pPr>
            <w:r>
              <w:rPr>
                <w:rFonts w:ascii="Calibri" w:eastAsia="Calibri" w:hAnsi="Calibri" w:cs="Calibri"/>
                <w:sz w:val="20"/>
                <w:szCs w:val="20"/>
              </w:rPr>
              <w:t>Kurumsal araştırma veri tabanının güncellenmesi</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t>ETKİLENDİĞİ SÜREÇLER</w:t>
            </w:r>
          </w:p>
        </w:tc>
        <w:tc>
          <w:tcPr>
            <w:tcW w:w="7185" w:type="dxa"/>
            <w:gridSpan w:val="8"/>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Araştırma Geliştirme Mantıksal Çerçeve Süreci</w:t>
            </w:r>
          </w:p>
          <w:p w:rsidR="002863EC" w:rsidRDefault="00991D45">
            <w:pPr>
              <w:jc w:val="both"/>
              <w:rPr>
                <w:rFonts w:ascii="Calibri" w:eastAsia="Calibri" w:hAnsi="Calibri" w:cs="Calibri"/>
                <w:sz w:val="20"/>
                <w:szCs w:val="20"/>
              </w:rPr>
            </w:pPr>
            <w:r>
              <w:rPr>
                <w:rFonts w:ascii="Calibri" w:eastAsia="Calibri" w:hAnsi="Calibri" w:cs="Calibri"/>
                <w:sz w:val="20"/>
                <w:szCs w:val="20"/>
              </w:rPr>
              <w:t>Üniversitenin stratejik planlama ve kurumsal yönetim süreci</w:t>
            </w:r>
          </w:p>
          <w:p w:rsidR="002863EC" w:rsidRDefault="00991D45">
            <w:pPr>
              <w:jc w:val="both"/>
              <w:rPr>
                <w:rFonts w:ascii="Calibri" w:eastAsia="Calibri" w:hAnsi="Calibri" w:cs="Calibri"/>
                <w:sz w:val="20"/>
                <w:szCs w:val="20"/>
              </w:rPr>
            </w:pPr>
            <w:r>
              <w:rPr>
                <w:rFonts w:ascii="Calibri" w:eastAsia="Calibri" w:hAnsi="Calibri" w:cs="Calibri"/>
                <w:sz w:val="20"/>
                <w:szCs w:val="20"/>
              </w:rPr>
              <w:t>Araştırma politikalarının belirlenmesi ve güncellenmesi süreci</w:t>
            </w:r>
          </w:p>
          <w:p w:rsidR="002863EC" w:rsidRDefault="00991D45">
            <w:pPr>
              <w:jc w:val="both"/>
              <w:rPr>
                <w:rFonts w:ascii="Calibri" w:eastAsia="Calibri" w:hAnsi="Calibri" w:cs="Calibri"/>
                <w:sz w:val="20"/>
                <w:szCs w:val="20"/>
              </w:rPr>
            </w:pPr>
            <w:r>
              <w:rPr>
                <w:rFonts w:ascii="Calibri" w:eastAsia="Calibri" w:hAnsi="Calibri" w:cs="Calibri"/>
                <w:sz w:val="20"/>
                <w:szCs w:val="20"/>
              </w:rPr>
              <w:t>Proje yönetimi ve dış kaynaklı proje yürütme süreçleri</w:t>
            </w:r>
          </w:p>
          <w:p w:rsidR="002863EC" w:rsidRDefault="00991D45">
            <w:pPr>
              <w:jc w:val="both"/>
              <w:rPr>
                <w:rFonts w:ascii="Calibri" w:eastAsia="Calibri" w:hAnsi="Calibri" w:cs="Calibri"/>
                <w:sz w:val="20"/>
                <w:szCs w:val="20"/>
              </w:rPr>
            </w:pPr>
            <w:r>
              <w:rPr>
                <w:rFonts w:ascii="Calibri" w:eastAsia="Calibri" w:hAnsi="Calibri" w:cs="Calibri"/>
                <w:sz w:val="20"/>
                <w:szCs w:val="20"/>
              </w:rPr>
              <w:t>Bilimsel yayın ve akademik çıktı yönetim süreçleri</w:t>
            </w:r>
          </w:p>
          <w:p w:rsidR="002863EC" w:rsidRDefault="00991D45">
            <w:pPr>
              <w:jc w:val="both"/>
              <w:rPr>
                <w:rFonts w:ascii="Calibri" w:eastAsia="Calibri" w:hAnsi="Calibri" w:cs="Calibri"/>
                <w:sz w:val="20"/>
                <w:szCs w:val="20"/>
              </w:rPr>
            </w:pPr>
            <w:r>
              <w:rPr>
                <w:rFonts w:ascii="Calibri" w:eastAsia="Calibri" w:hAnsi="Calibri" w:cs="Calibri"/>
                <w:sz w:val="20"/>
                <w:szCs w:val="20"/>
              </w:rPr>
              <w:t>Üniversite–sanayi iş birliği ve teknoloji transferi süreçleri</w:t>
            </w:r>
          </w:p>
          <w:p w:rsidR="002863EC" w:rsidRDefault="00991D45">
            <w:pPr>
              <w:jc w:val="both"/>
              <w:rPr>
                <w:rFonts w:ascii="Calibri" w:eastAsia="Calibri" w:hAnsi="Calibri" w:cs="Calibri"/>
                <w:sz w:val="20"/>
                <w:szCs w:val="20"/>
              </w:rPr>
            </w:pPr>
            <w:r>
              <w:rPr>
                <w:rFonts w:ascii="Calibri" w:eastAsia="Calibri" w:hAnsi="Calibri" w:cs="Calibri"/>
                <w:sz w:val="20"/>
                <w:szCs w:val="20"/>
              </w:rPr>
              <w:t>Bütçe ve mali kaynak planlama süreçleri</w:t>
            </w:r>
          </w:p>
          <w:p w:rsidR="002863EC" w:rsidRDefault="00991D45">
            <w:pPr>
              <w:jc w:val="both"/>
              <w:rPr>
                <w:rFonts w:ascii="Calibri" w:eastAsia="Calibri" w:hAnsi="Calibri" w:cs="Calibri"/>
                <w:sz w:val="20"/>
                <w:szCs w:val="20"/>
              </w:rPr>
            </w:pPr>
            <w:r>
              <w:rPr>
                <w:rFonts w:ascii="Calibri" w:eastAsia="Calibri" w:hAnsi="Calibri" w:cs="Calibri"/>
                <w:sz w:val="20"/>
                <w:szCs w:val="20"/>
              </w:rPr>
              <w:t>İnsan kaynakları planlama ve akademik performans değerlendirme süreçleri</w:t>
            </w:r>
          </w:p>
          <w:p w:rsidR="002863EC" w:rsidRDefault="00991D45">
            <w:pPr>
              <w:jc w:val="both"/>
              <w:rPr>
                <w:rFonts w:ascii="Calibri" w:eastAsia="Calibri" w:hAnsi="Calibri" w:cs="Calibri"/>
                <w:sz w:val="20"/>
                <w:szCs w:val="20"/>
              </w:rPr>
            </w:pPr>
            <w:r>
              <w:rPr>
                <w:rFonts w:ascii="Calibri" w:eastAsia="Calibri" w:hAnsi="Calibri" w:cs="Calibri"/>
                <w:sz w:val="20"/>
                <w:szCs w:val="20"/>
              </w:rPr>
              <w:t>Kalite güvence ve iç değerlendirme süreçleri</w:t>
            </w:r>
          </w:p>
          <w:p w:rsidR="002863EC" w:rsidRDefault="00991D45">
            <w:pPr>
              <w:jc w:val="both"/>
              <w:rPr>
                <w:rFonts w:ascii="Calibri" w:eastAsia="Calibri" w:hAnsi="Calibri" w:cs="Calibri"/>
                <w:sz w:val="20"/>
                <w:szCs w:val="20"/>
              </w:rPr>
            </w:pPr>
            <w:r>
              <w:rPr>
                <w:rFonts w:ascii="Calibri" w:eastAsia="Calibri" w:hAnsi="Calibri" w:cs="Calibri"/>
                <w:sz w:val="20"/>
                <w:szCs w:val="20"/>
              </w:rPr>
              <w:t>Eğitim-öğretim süreçleri (araştırma temelli öğrenme çıktıları üzerinden)</w:t>
            </w:r>
          </w:p>
          <w:p w:rsidR="002863EC" w:rsidRDefault="00991D45">
            <w:pPr>
              <w:jc w:val="both"/>
              <w:rPr>
                <w:rFonts w:ascii="Calibri" w:eastAsia="Calibri" w:hAnsi="Calibri" w:cs="Calibri"/>
                <w:sz w:val="20"/>
                <w:szCs w:val="20"/>
              </w:rPr>
            </w:pPr>
            <w:r>
              <w:rPr>
                <w:rFonts w:ascii="Calibri" w:eastAsia="Calibri" w:hAnsi="Calibri" w:cs="Calibri"/>
                <w:sz w:val="20"/>
                <w:szCs w:val="20"/>
              </w:rPr>
              <w:t>Dijital veri yönetimi ve kurumsal raporlama süreçleri</w:t>
            </w:r>
          </w:p>
        </w:tc>
      </w:tr>
      <w:tr w:rsidR="002863EC">
        <w:trPr>
          <w:cantSplit/>
          <w:trHeight w:val="340"/>
        </w:trPr>
        <w:tc>
          <w:tcPr>
            <w:tcW w:w="3330" w:type="dxa"/>
            <w:gridSpan w:val="4"/>
            <w:tcMar>
              <w:left w:w="142" w:type="dxa"/>
            </w:tcMar>
            <w:vAlign w:val="center"/>
          </w:tcPr>
          <w:p w:rsidR="002863EC" w:rsidRDefault="00991D45">
            <w:pPr>
              <w:rPr>
                <w:rFonts w:ascii="Calibri" w:eastAsia="Calibri" w:hAnsi="Calibri" w:cs="Calibri"/>
                <w:b/>
                <w:bCs/>
                <w:color w:val="002060"/>
                <w:sz w:val="20"/>
                <w:szCs w:val="20"/>
              </w:rPr>
            </w:pPr>
            <w:r>
              <w:rPr>
                <w:rFonts w:ascii="Calibri" w:eastAsia="Calibri" w:hAnsi="Calibri" w:cs="Calibri"/>
                <w:b/>
                <w:bCs/>
                <w:color w:val="002060"/>
                <w:sz w:val="20"/>
                <w:szCs w:val="20"/>
              </w:rPr>
              <w:t>ETKİLEDİĞİ SÜREÇLER</w:t>
            </w:r>
          </w:p>
        </w:tc>
        <w:tc>
          <w:tcPr>
            <w:tcW w:w="7185" w:type="dxa"/>
            <w:gridSpan w:val="8"/>
            <w:vAlign w:val="center"/>
          </w:tcPr>
          <w:p w:rsidR="002863EC" w:rsidRDefault="00991D45">
            <w:pPr>
              <w:rPr>
                <w:rFonts w:ascii="Calibri" w:eastAsia="Calibri" w:hAnsi="Calibri" w:cs="Calibri"/>
                <w:sz w:val="20"/>
                <w:szCs w:val="20"/>
              </w:rPr>
            </w:pPr>
            <w:r>
              <w:rPr>
                <w:rFonts w:ascii="Calibri" w:eastAsia="Calibri" w:hAnsi="Calibri" w:cs="Calibri"/>
                <w:sz w:val="20"/>
                <w:szCs w:val="20"/>
              </w:rPr>
              <w:t>Üniversitenin stratejik planlama ve kurumsal hedef belirleme süreçleri</w:t>
            </w:r>
          </w:p>
          <w:p w:rsidR="002863EC" w:rsidRDefault="00991D45">
            <w:pPr>
              <w:rPr>
                <w:rFonts w:ascii="Calibri" w:eastAsia="Calibri" w:hAnsi="Calibri" w:cs="Calibri"/>
                <w:sz w:val="20"/>
                <w:szCs w:val="20"/>
              </w:rPr>
            </w:pPr>
            <w:r>
              <w:rPr>
                <w:rFonts w:ascii="Calibri" w:eastAsia="Calibri" w:hAnsi="Calibri" w:cs="Calibri"/>
                <w:sz w:val="20"/>
                <w:szCs w:val="20"/>
              </w:rPr>
              <w:t>Araştırma politikalarının geliştirilmesi ve güncellenmesi süreçleri</w:t>
            </w:r>
          </w:p>
          <w:p w:rsidR="002863EC" w:rsidRDefault="00991D45">
            <w:pPr>
              <w:rPr>
                <w:rFonts w:ascii="Calibri" w:eastAsia="Calibri" w:hAnsi="Calibri" w:cs="Calibri"/>
                <w:sz w:val="20"/>
                <w:szCs w:val="20"/>
              </w:rPr>
            </w:pPr>
            <w:r>
              <w:rPr>
                <w:rFonts w:ascii="Calibri" w:eastAsia="Calibri" w:hAnsi="Calibri" w:cs="Calibri"/>
                <w:sz w:val="20"/>
                <w:szCs w:val="20"/>
              </w:rPr>
              <w:t>Proje geliştirme, başvuru ve yürütme süreçleri</w:t>
            </w:r>
          </w:p>
          <w:p w:rsidR="002863EC" w:rsidRDefault="00991D45">
            <w:pPr>
              <w:rPr>
                <w:rFonts w:ascii="Calibri" w:eastAsia="Calibri" w:hAnsi="Calibri" w:cs="Calibri"/>
                <w:sz w:val="20"/>
                <w:szCs w:val="20"/>
              </w:rPr>
            </w:pPr>
            <w:r>
              <w:rPr>
                <w:rFonts w:ascii="Calibri" w:eastAsia="Calibri" w:hAnsi="Calibri" w:cs="Calibri"/>
                <w:sz w:val="20"/>
                <w:szCs w:val="20"/>
              </w:rPr>
              <w:t>Bilimsel yayın üretim ve akademik performans süreçleri</w:t>
            </w:r>
          </w:p>
          <w:p w:rsidR="002863EC" w:rsidRDefault="00991D45">
            <w:pPr>
              <w:rPr>
                <w:rFonts w:ascii="Calibri" w:eastAsia="Calibri" w:hAnsi="Calibri" w:cs="Calibri"/>
                <w:sz w:val="20"/>
                <w:szCs w:val="20"/>
              </w:rPr>
            </w:pPr>
            <w:r>
              <w:rPr>
                <w:rFonts w:ascii="Calibri" w:eastAsia="Calibri" w:hAnsi="Calibri" w:cs="Calibri"/>
                <w:sz w:val="20"/>
                <w:szCs w:val="20"/>
              </w:rPr>
              <w:t>Patent, inovasyon ve teknoloji ticarileştirme süreçleri</w:t>
            </w:r>
          </w:p>
          <w:p w:rsidR="002863EC" w:rsidRDefault="00991D45">
            <w:pPr>
              <w:rPr>
                <w:rFonts w:ascii="Calibri" w:eastAsia="Calibri" w:hAnsi="Calibri" w:cs="Calibri"/>
                <w:sz w:val="20"/>
                <w:szCs w:val="20"/>
              </w:rPr>
            </w:pPr>
            <w:r>
              <w:rPr>
                <w:rFonts w:ascii="Calibri" w:eastAsia="Calibri" w:hAnsi="Calibri" w:cs="Calibri"/>
                <w:sz w:val="20"/>
                <w:szCs w:val="20"/>
              </w:rPr>
              <w:t>Üniversite–sanayi iş birliği ve dış paydaş ilişkileri süreçleri</w:t>
            </w:r>
          </w:p>
          <w:p w:rsidR="002863EC" w:rsidRDefault="00991D45">
            <w:pPr>
              <w:rPr>
                <w:rFonts w:ascii="Calibri" w:eastAsia="Calibri" w:hAnsi="Calibri" w:cs="Calibri"/>
                <w:sz w:val="20"/>
                <w:szCs w:val="20"/>
              </w:rPr>
            </w:pPr>
            <w:r>
              <w:rPr>
                <w:rFonts w:ascii="Calibri" w:eastAsia="Calibri" w:hAnsi="Calibri" w:cs="Calibri"/>
                <w:sz w:val="20"/>
                <w:szCs w:val="20"/>
              </w:rPr>
              <w:t>Araştırma altyapısı ve laboratuvar kullanım süreçleri</w:t>
            </w:r>
          </w:p>
          <w:p w:rsidR="002863EC" w:rsidRDefault="00991D45">
            <w:pPr>
              <w:rPr>
                <w:rFonts w:ascii="Calibri" w:eastAsia="Calibri" w:hAnsi="Calibri" w:cs="Calibri"/>
                <w:sz w:val="20"/>
                <w:szCs w:val="20"/>
              </w:rPr>
            </w:pPr>
            <w:r>
              <w:rPr>
                <w:rFonts w:ascii="Calibri" w:eastAsia="Calibri" w:hAnsi="Calibri" w:cs="Calibri"/>
                <w:sz w:val="20"/>
                <w:szCs w:val="20"/>
              </w:rPr>
              <w:t>Bütçe planlama ve araştırma fonlarının dağıtım süreçleri</w:t>
            </w:r>
          </w:p>
          <w:p w:rsidR="002863EC" w:rsidRDefault="00991D45">
            <w:pPr>
              <w:rPr>
                <w:rFonts w:ascii="Calibri" w:eastAsia="Calibri" w:hAnsi="Calibri" w:cs="Calibri"/>
                <w:sz w:val="20"/>
                <w:szCs w:val="20"/>
              </w:rPr>
            </w:pPr>
            <w:r>
              <w:rPr>
                <w:rFonts w:ascii="Calibri" w:eastAsia="Calibri" w:hAnsi="Calibri" w:cs="Calibri"/>
                <w:sz w:val="20"/>
                <w:szCs w:val="20"/>
              </w:rPr>
              <w:t>Kalite güvence, iç değerlendirme ve akreditasyon süreçleri</w:t>
            </w:r>
          </w:p>
          <w:p w:rsidR="002863EC" w:rsidRDefault="00991D45">
            <w:pPr>
              <w:rPr>
                <w:rFonts w:ascii="Calibri" w:eastAsia="Calibri" w:hAnsi="Calibri" w:cs="Calibri"/>
                <w:sz w:val="20"/>
                <w:szCs w:val="20"/>
              </w:rPr>
            </w:pPr>
            <w:r>
              <w:rPr>
                <w:rFonts w:ascii="Calibri" w:eastAsia="Calibri" w:hAnsi="Calibri" w:cs="Calibri"/>
                <w:sz w:val="20"/>
                <w:szCs w:val="20"/>
              </w:rPr>
              <w:t>Akademik insan kaynağı gelişimi ve performans değerlendirme süreçleri</w:t>
            </w:r>
          </w:p>
          <w:p w:rsidR="002863EC" w:rsidRDefault="00991D45">
            <w:pPr>
              <w:rPr>
                <w:rFonts w:ascii="Calibri" w:eastAsia="Calibri" w:hAnsi="Calibri" w:cs="Calibri"/>
                <w:sz w:val="20"/>
                <w:szCs w:val="20"/>
              </w:rPr>
            </w:pPr>
            <w:r>
              <w:rPr>
                <w:rFonts w:ascii="Calibri" w:eastAsia="Calibri" w:hAnsi="Calibri" w:cs="Calibri"/>
                <w:sz w:val="20"/>
                <w:szCs w:val="20"/>
              </w:rPr>
              <w:t>Kurumsal veri yönetimi ve AR-GE raporlama süreçleri</w:t>
            </w:r>
          </w:p>
        </w:tc>
      </w:tr>
      <w:tr w:rsidR="002863EC">
        <w:trPr>
          <w:cantSplit/>
          <w:trHeight w:val="425"/>
        </w:trPr>
        <w:tc>
          <w:tcPr>
            <w:tcW w:w="10515" w:type="dxa"/>
            <w:gridSpan w:val="12"/>
            <w:shd w:val="clear" w:color="auto" w:fill="auto"/>
            <w:vAlign w:val="center"/>
          </w:tcPr>
          <w:p w:rsidR="002863EC" w:rsidRDefault="00991D45">
            <w:pPr>
              <w:jc w:val="both"/>
              <w:rPr>
                <w:rFonts w:ascii="Calibri" w:eastAsia="Calibri" w:hAnsi="Calibri" w:cs="Calibri"/>
                <w:b/>
                <w:bCs/>
                <w:color w:val="14067A"/>
                <w:sz w:val="20"/>
                <w:szCs w:val="20"/>
              </w:rPr>
            </w:pPr>
            <w:r>
              <w:rPr>
                <w:rFonts w:ascii="Calibri" w:eastAsia="Calibri" w:hAnsi="Calibri" w:cs="Calibri"/>
                <w:b/>
                <w:bCs/>
                <w:color w:val="14067A"/>
                <w:sz w:val="20"/>
                <w:szCs w:val="20"/>
              </w:rPr>
              <w:t xml:space="preserve"> SÜREÇ FAALİYETLERİ</w:t>
            </w:r>
          </w:p>
        </w:tc>
      </w:tr>
      <w:tr w:rsidR="002863EC">
        <w:trPr>
          <w:cantSplit/>
          <w:trHeight w:val="362"/>
        </w:trPr>
        <w:tc>
          <w:tcPr>
            <w:tcW w:w="70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2060"/>
                <w:sz w:val="20"/>
                <w:szCs w:val="20"/>
              </w:rPr>
              <w:t>NO</w:t>
            </w:r>
          </w:p>
        </w:tc>
        <w:tc>
          <w:tcPr>
            <w:tcW w:w="6660" w:type="dxa"/>
            <w:gridSpan w:val="8"/>
            <w:vAlign w:val="center"/>
          </w:tcPr>
          <w:p w:rsidR="002863EC" w:rsidRDefault="00991D45">
            <w:pPr>
              <w:pBdr>
                <w:top w:val="nil"/>
                <w:left w:val="nil"/>
                <w:bottom w:val="nil"/>
                <w:right w:val="nil"/>
                <w:between w:val="nil"/>
              </w:pBdr>
              <w:rPr>
                <w:rFonts w:ascii="Calibri" w:eastAsia="Calibri" w:hAnsi="Calibri" w:cs="Calibri"/>
                <w:b/>
                <w:bCs/>
                <w:color w:val="002060"/>
                <w:sz w:val="20"/>
                <w:szCs w:val="20"/>
              </w:rPr>
            </w:pPr>
            <w:r>
              <w:rPr>
                <w:rFonts w:ascii="Calibri" w:eastAsia="Calibri" w:hAnsi="Calibri" w:cs="Calibri"/>
                <w:b/>
                <w:bCs/>
                <w:color w:val="002060"/>
                <w:sz w:val="20"/>
                <w:szCs w:val="20"/>
              </w:rPr>
              <w:t>SÜREÇ FAALİYETİNİN TANIMI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b/>
                <w:bCs/>
                <w:color w:val="002060"/>
                <w:sz w:val="20"/>
                <w:szCs w:val="20"/>
              </w:rPr>
            </w:pPr>
            <w:r>
              <w:rPr>
                <w:rFonts w:ascii="Calibri" w:eastAsia="Calibri" w:hAnsi="Calibri" w:cs="Calibri"/>
                <w:b/>
                <w:bCs/>
                <w:color w:val="002060"/>
                <w:sz w:val="20"/>
                <w:szCs w:val="20"/>
              </w:rPr>
              <w:t>SÜREÇ KATILIMCILARI</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F1</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Ar-Ge Stratejisi Üst Kurulunun oluşturulması ve yılda en az bir toplantının gerçekleştirilmesi</w:t>
            </w:r>
          </w:p>
        </w:tc>
        <w:tc>
          <w:tcPr>
            <w:tcW w:w="3150"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Rektörlük, Araştırma Dekanlığı, Kalite Komisyonu</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F2</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Üniversite Uluslararası Danışma Kuruluna Ar-Ge faaliyetlerine yönelik yılda en az 1 kez istişare toplantısının yapılması</w:t>
            </w:r>
          </w:p>
        </w:tc>
        <w:tc>
          <w:tcPr>
            <w:tcW w:w="3150"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Rektörlük, Araştırma Dekanlığı, Kalite Komisyonu</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F3</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Araştırma Dekanlığı, BAP Koordinatörlüğü ve Erciyes Teknoloji Transfer Ofisi birimleri arasında yılda en az 2 istişare toplantısının gerçekleştirilmesi</w:t>
            </w:r>
          </w:p>
        </w:tc>
        <w:tc>
          <w:tcPr>
            <w:tcW w:w="3150"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Araştırma Dekanlığı, BAP Koordinatörlüğü, Erciyes Teknoloji Transfer Ofisi</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F4</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Araştırma yönetimine ilişkin ulusal ve uluslararası dış paydaşlar ile gerçekleştirilen toplantılara katılım gösterilmesi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Dış Paydaşlar, Akademik Birimler </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F5</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Rektörlük Yönetimi ile yılda en az 2 kez araştırma performansı değerlendirme toplantılarının gerçekleştirilmesi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F6</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Rektörlük Yönetimi bünyesinde araştırma yönetimi ve organizasyonel yapının değerlendirilmesi ve iyileştirilmesine yönelik yılda en az 1 toplantının gerçekleştirilmesi</w:t>
            </w:r>
          </w:p>
        </w:tc>
        <w:tc>
          <w:tcPr>
            <w:tcW w:w="3150" w:type="dxa"/>
            <w:gridSpan w:val="3"/>
            <w:vAlign w:val="center"/>
          </w:tcPr>
          <w:p w:rsidR="002863EC" w:rsidRDefault="00991D45">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sz w:val="20"/>
                <w:szCs w:val="20"/>
              </w:rPr>
              <w:t>Rektörlük, Araştırma Dekanlığı</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F7</w:t>
            </w:r>
          </w:p>
        </w:tc>
        <w:tc>
          <w:tcPr>
            <w:tcW w:w="6660" w:type="dxa"/>
            <w:gridSpan w:val="8"/>
          </w:tcPr>
          <w:p w:rsidR="002863EC" w:rsidRDefault="00991D45">
            <w:pPr>
              <w:rPr>
                <w:rFonts w:ascii="Calibri" w:eastAsia="Calibri" w:hAnsi="Calibri" w:cs="Calibri"/>
              </w:rPr>
            </w:pPr>
            <w:r>
              <w:rPr>
                <w:rFonts w:ascii="Calibri" w:eastAsia="Calibri" w:hAnsi="Calibri" w:cs="Calibri"/>
                <w:sz w:val="20"/>
                <w:szCs w:val="20"/>
              </w:rPr>
              <w:t>Bilim, teşvik, hizmet ve kurumsal ödüllere yönelik aday belirleme çalışmalarının yapılması, Rektör başkanlığında adaylar ile en az 1 toplantı gerçekleştirilmesi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Ödül Değerlendirme Komisyonları, Aday Öğretim Elemanları </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F10</w:t>
            </w:r>
          </w:p>
        </w:tc>
        <w:tc>
          <w:tcPr>
            <w:tcW w:w="6660" w:type="dxa"/>
            <w:gridSpan w:val="8"/>
          </w:tcPr>
          <w:p w:rsidR="002863EC" w:rsidRDefault="00991D45">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sz w:val="20"/>
                <w:szCs w:val="20"/>
              </w:rPr>
              <w:t>Clarivate Analytics bilimsel makale ve atıf verilerinin API yoluyla kurumsal araştırma veritabanına aktarılması, sürecin otomatize edilmesi</w:t>
            </w:r>
            <w:r>
              <w:rPr>
                <w:rFonts w:ascii="Calibri" w:eastAsia="Calibri" w:hAnsi="Calibri" w:cs="Calibri"/>
                <w:color w:val="000000"/>
                <w:sz w:val="20"/>
                <w:szCs w:val="20"/>
              </w:rPr>
              <w:tab/>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Bilgi İşlem Daire Başkanlığı, Clarivate Analytics Temsilcileri </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F11</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ERÜ-Performans yazılımının geliştirilmesi ve kurumsal araştırma veri tabanı ile entegre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Araştırma Dekanlığı</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F12</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ERÜ-Teşvik yazılımının geliştirilmesi ve kurumsal araştırma veri tabanı ile entegre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Araştırma Dekanlığı</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F13</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BAP Uygulama Esaslarının yıllık olarak güncellenmesi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BAP Koordinatörlüğü, BAP Komisyonu, Araştırma Dekanlığı </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F14</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Öğretim elemanları ve lisansüstü öğrencilere yönelik BAP destekleri hakkında yılda en az 1 bilgilendirme toplantısının düzenlenmesi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BAP Koordinatörlüğü, Öğretim Elemanları, Lisansüstü Öğrenciler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F15</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BAP destekli fonlardan bursiyer sayısının arttırılmasına yönelik yılda en az 1 bilgilendirme toplantısının yapılması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BAP Koordinatörlüğü, Lisansüstü Öğrenciler, Bursiyerler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F16</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Bilimsel teşvik tutarını artırmaya yönelik kaynak geliştirme çalışmalarının yapılması, Üniversitemiz Sosyal tesislerinin tanıtımının artırılması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İdari Birimler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F17</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Üniversitenin kısa ve orta vade stratejik planlarıyla uyumlu olarak Bilimsel Teşvik Usul ve Esaslarının güncellenmesi ve araştırmacılara duyurulması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Bilimsel Teşvik Komisyonu, Strateji Geliştirme Daire Başkanlığı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F18</w:t>
            </w:r>
          </w:p>
        </w:tc>
        <w:tc>
          <w:tcPr>
            <w:tcW w:w="6660" w:type="dxa"/>
            <w:gridSpan w:val="8"/>
          </w:tcPr>
          <w:p w:rsidR="002863EC" w:rsidRDefault="00991D45">
            <w:pPr>
              <w:jc w:val="both"/>
              <w:rPr>
                <w:rFonts w:ascii="Calibri" w:eastAsia="Calibri" w:hAnsi="Calibri" w:cs="Calibri"/>
                <w:sz w:val="20"/>
                <w:szCs w:val="20"/>
              </w:rPr>
            </w:pPr>
            <w:bookmarkStart w:id="3" w:name="_heading=h.kxoote2jf97z" w:colFirst="0" w:colLast="0"/>
            <w:bookmarkEnd w:id="3"/>
            <w:r>
              <w:rPr>
                <w:rFonts w:ascii="Calibri" w:eastAsia="Calibri" w:hAnsi="Calibri" w:cs="Calibri"/>
                <w:sz w:val="20"/>
                <w:szCs w:val="20"/>
              </w:rPr>
              <w:t>İlgili yıl araştırma faaliyetleri verilerinin ERÜ-Teşvik yazılımına aktarılması ve her araştırmacı için bilimsel teşvik tutarlarının hesaplanması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Öğretim Elemanları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F19</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2209 projelerine başvuru yapan tüm lisans öğrencilerine hediye verilerek başvuruların teşvik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Lisans Öğrencileri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F20</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Enstitülere her eğitim öğretim yılı başlangıcında TÜBİTAK 1002 projeleri ve TÜSEB A Grubu projeleri ile ilgili bir bilgilendirme toplantısının yapılması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Enstitüler, Öğretim Elemanları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F21</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Fakültelere ve araştırma merkezlerine yılda en az bir TÜBİTAK projeleri bilgilendirme toplantısının yapılması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Fakülteler, Araştırma Merkezleri, Öğretim Elemanları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F22</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Proje türleri ve çağrılarına yönelik odak grupların oluşturulması ve proje takvimlerine uygun dönemlerde toplantı düzenlenmesi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Akademik Birimler,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F23</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Öğretim elemanlarına uluslararası proje destekleri hakkında bilgilendirme sunumlarının yapılması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Öğretim Elemanları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F24</w:t>
            </w:r>
          </w:p>
        </w:tc>
        <w:tc>
          <w:tcPr>
            <w:tcW w:w="6660" w:type="dxa"/>
            <w:gridSpan w:val="8"/>
          </w:tcPr>
          <w:p w:rsidR="002863EC" w:rsidRDefault="00991D45">
            <w:pPr>
              <w:jc w:val="both"/>
              <w:rPr>
                <w:rFonts w:ascii="Calibri" w:eastAsia="Calibri" w:hAnsi="Calibri" w:cs="Calibri"/>
              </w:rPr>
            </w:pPr>
            <w:r>
              <w:rPr>
                <w:rFonts w:ascii="Calibri" w:eastAsia="Calibri" w:hAnsi="Calibri" w:cs="Calibri"/>
                <w:sz w:val="20"/>
                <w:szCs w:val="20"/>
              </w:rPr>
              <w:t>Öğretim elemanlarının uluslararası konsorsiyumlara katılımlarının sağlanması amacıyla AB-TÜBİTAK proje pazarları vb. etkinliklere katılımı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Öğretim Elemanları, Uluslararası Konsorsiyum Temsilcileri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F25</w:t>
            </w:r>
          </w:p>
        </w:tc>
        <w:tc>
          <w:tcPr>
            <w:tcW w:w="6660" w:type="dxa"/>
            <w:gridSpan w:val="8"/>
          </w:tcPr>
          <w:p w:rsidR="002863EC" w:rsidRDefault="00991D45">
            <w:pPr>
              <w:jc w:val="both"/>
              <w:rPr>
                <w:rFonts w:ascii="Calibri" w:eastAsia="Calibri" w:hAnsi="Calibri" w:cs="Calibri"/>
              </w:rPr>
            </w:pPr>
            <w:r>
              <w:rPr>
                <w:rFonts w:ascii="Calibri" w:eastAsia="Calibri" w:hAnsi="Calibri" w:cs="Calibri"/>
                <w:sz w:val="20"/>
                <w:szCs w:val="20"/>
              </w:rPr>
              <w:t>Dış paydaşlar ile uluslararası projelere yönelik iş birliği/tanışma toplantılarının yılda en az 1 kez düzenlenmesi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Dış Paydaşlar, Akademik Birimler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F30</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Doktora programlarında, Üniversitelerin toplum ve sanayi gibi paydaşlarla iş birliğini artıracak doktora tez konularının alandaki ihtiyaçlara göre planlanması için ilgili paydaşlar ile yılda en az bir kez bilgilendirme toplantısının yapılması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Enstitüler, Araştırma Dekanlığı, Akademik Birimler, Sanayi Temsilcileri, Kamu Kurumları, Dış Paydaşlar </w:t>
            </w:r>
          </w:p>
        </w:tc>
      </w:tr>
      <w:tr w:rsidR="002863EC">
        <w:trPr>
          <w:cantSplit/>
          <w:trHeight w:val="458"/>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F31</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Öncelikli alanlarda ulusal ve uluslararası doktora öğrenci sayısının arttırılmasına yönelik nitelikli programların açılması için başvuru dosyalarının hazırlanması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Rektörlük, Araştırma Dekanlığı, Enstitüler, Akademik Birimler</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F32</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Herhangi bir kuruma bağlı olmayan ulusal veya uluslararası doktora öğrenci adaylarına yönelik burs desteğinin sağlanması </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Enstitüler, Araştırma Dekanlığı, Uluslararası İlişkiler Ofisi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F33</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Doktora programlarına yönelik tanıtım faaliyetlerinin artırılması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Enstitüler, Kurumsal İletişim Birimi, Araştırma Dekanlığı, Uluslararası İlişkiler Ofisi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F34</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Doktora öğrencilerinin mezuniyet koşullarını sağlaması ile ilgili tezlerinin bilimsel yayın, araştırma projesi veya patente dönüştürülmesi vb. konularında gerekli düzenlemelerin yapılması için istişare toplantılarının gerçekleştirilmesi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Enstitüler, Araştırma Dekanlığı, Erciyes Teknoloji Transfer Ofisi, Akademik Birimler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F35</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TÜBİTAK, YTB, TİKA, YÖK, Fulbright, vb. desteklerinden daha fazla faydalanılması için yılda en az bir bilgilendirme toplantısının yapılması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Enstitüler, Uluslararası İlişkiler Ofisi, Öğretim Elemanları, Doktora Öğrencileri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F36</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Üniversitedeki doktora programlarının daha fazla görünür hale gelmesi için Üniversitenin medya ve sosyal medya imkânlarının kullanılması, yüksek lisans ve doktora programlarının başvuru sistemlerinin düzenlenmesi ve web sitelerinde yabancı dilde duyurulması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Enstitüler, Kurumsal İletişim Koordinatörlüğü, Uluslararası İlişkiler Ofisi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F37</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Doktora öğrencileri ile her eğitim öğretim yılı başlangıcında toplantılar düzenlenerek sorunlarının, çözüm önerilerinin dinlenmesi, raporlanması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Enstitüler, Araştırma Dekanlığı, Doktora Öğrencileri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F38</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Bilimsel teşvik usul ve esaslarında doktora tez danışmanlığına ilişkin teşvik miktarının artırılması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Bilimsel Teşvik Komisyonu </w:t>
            </w:r>
          </w:p>
        </w:tc>
      </w:tr>
      <w:tr w:rsidR="002863EC">
        <w:trPr>
          <w:cantSplit/>
          <w:trHeight w:val="458"/>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F39</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 xml:space="preserve">Gerekli lisansüstü programlarda tam zamanlı çalışan doktora öğrenci sayısının artırılması için ikinci öğretim programlarının açılması </w:t>
            </w:r>
          </w:p>
        </w:tc>
        <w:tc>
          <w:tcPr>
            <w:tcW w:w="3150" w:type="dxa"/>
            <w:gridSpan w:val="3"/>
            <w:vAlign w:val="center"/>
          </w:tcPr>
          <w:p w:rsidR="002863EC" w:rsidRDefault="00991D45">
            <w:pPr>
              <w:rPr>
                <w:rFonts w:ascii="Calibri" w:eastAsia="Calibri" w:hAnsi="Calibri" w:cs="Calibri"/>
                <w:color w:val="000000"/>
                <w:sz w:val="20"/>
                <w:szCs w:val="20"/>
              </w:rPr>
            </w:pPr>
            <w:r>
              <w:rPr>
                <w:rFonts w:ascii="Calibri" w:eastAsia="Calibri" w:hAnsi="Calibri" w:cs="Calibri"/>
                <w:sz w:val="20"/>
                <w:szCs w:val="20"/>
              </w:rPr>
              <w:t xml:space="preserve">Rektörlük, Enstitüler, Akademik Birimler,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F40</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Araştırma grupları sayı ve niteliğini artırmaya yönelik “Nitelikli Araştırma Grupları” projesinin hayata geçirilmesi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Akademik Birimler, Araştırma Grupları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F41</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Araştırma Dekanlığı bünyesinde Araştırma Grupları Koordinasyon Ofisi oluşturulması ve doktora sonrası araştırmacılara yönelik süreçlerin bu ofis tarafından işletilmesi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Araştırma Dekanlığı, Rektörlük</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F42</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Yeni kurulacak olan araştırma gruplarına fiziksel mekân ve bütçe desteğinin sağlanması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Yapı İşleri ve Teknik Daire Başkanlığı, Strateji Geliştirme Daire Başkanlığı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F43</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 xml:space="preserve">Araştırma gruplarında yürüyen projeler bünyesinde doktora sonrası araştırmacıların istihdamına yönelik “Jobs.Erciyes Uygulaması”nın geliştirilmesi </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Araştırma Grupları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F44</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YÖK tarafından yayımlanan Devlet Yükseköğretim Kurumlarında Doktora Sonrası Sözleşmeli Araştırmacı Çalıştırılmasına İlişkin Usul ve Esaslara yönelik kurum içi çalışmaların başlatılması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Rektörlük, Araştırma Dekanlığı, Personel Daire Başkanlığı</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F45</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Üniversitedeki mevcut doktora sonrası araştırmacılar ile bir araya gelinerek sorunları ve çözüm önerilerinin dinlenmesi ve raporlanması; vize ve izin süreçleri, konaklama, e-imza gibi süreçlerine destek olunmasına yönelik çözümler geliştirilmesi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Doktora Sonrası Araştırmacılar, Uluslararası İlişkiler Ofisi, Personel Daire Başkanlığı </w:t>
            </w:r>
          </w:p>
        </w:tc>
      </w:tr>
      <w:tr w:rsidR="002863EC">
        <w:trPr>
          <w:cantSplit/>
          <w:trHeight w:val="473"/>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F46</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Araştırma işbirliği geliştirmeye yönelik yılda rutin olarak Araştırma ve İnovasyon Çalıştayının düzenlenmesi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Akademik Birimler, Araştırmacılar, Erciyes Teknoloji Transfer Ofisi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F47</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Disiplinler arası işbirliğinin artırılmasına yönelik tematik konularda kurum içi disiplinler arası en az 2 toplantının organize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Akademik Birimler,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F48</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Yılda en az 1 Ar-Ge Eğitim Serisi düzenlenmesi ve araştırmacıların ihtiyaçlarına yönelik farklı gün ve saatlerde eğitim toplantılarının gerçekleştirilmesi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Akademik Birimler, Öğretim Elemanları,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F49</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Ulusal ve uluslararası alandan başarılı bilim insanları ve sektör temsilcilerinin davet edilmesi ve yılda en az 2 deneyim paylaşımı etkinliklerinin düzenlenmesi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Akademik Birimler, Davetli Bilim İnsanları, Sektör Temsilcileri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F50</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Coursera çevrimiçi öğrenme platformunun araştırmacılar tarafından verimli bir şekilde kullanılmasına yönelik gerekli organizasyonel düzenlemelerin yapılması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Öğretim Elemanları,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F51</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AYEUM platformu hakkında öğretim elemanları ve öğrencilere periyodik bilgilendirmelerin gerçekleştirilmesi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AYEUM, Araştırma Dekanlığı, Öğretim Elemanları, Öğrenciler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F52</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Ulusal ve uluslararası kurumlar ile yapılan araştırma işbirliklerinin teşvik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Akademik Birimler, Dış Paydaşlar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F53</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BAP projeleri kapsamında araştırma amaçlı seyahat ya da kongre katılım vb. giderlerin periyodik olarak artırılması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BAP Koordinatörlüğü, Araştırma Dekanlığı,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F54</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Bölge Üniversiteleri ile Ar-Ge Proje Pazarı etkinliklerinin düzenlenmesi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Erciyes Teknoloji Transfer Ofisi, Bölge Üniversiteleri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F55</w:t>
            </w:r>
          </w:p>
        </w:tc>
        <w:tc>
          <w:tcPr>
            <w:tcW w:w="6660" w:type="dxa"/>
            <w:gridSpan w:val="8"/>
          </w:tcPr>
          <w:p w:rsidR="002863EC" w:rsidRDefault="00991D45">
            <w:pPr>
              <w:jc w:val="both"/>
              <w:rPr>
                <w:rFonts w:ascii="Calibri" w:eastAsia="Calibri" w:hAnsi="Calibri" w:cs="Calibri"/>
                <w:sz w:val="20"/>
                <w:szCs w:val="20"/>
              </w:rPr>
            </w:pPr>
            <w:r>
              <w:rPr>
                <w:rFonts w:ascii="Calibri" w:eastAsia="Calibri" w:hAnsi="Calibri" w:cs="Calibri"/>
                <w:sz w:val="20"/>
                <w:szCs w:val="20"/>
              </w:rPr>
              <w:t>Kurumun dâhil olacağı araştırma ağlarının önceliklendirilmesi ve finansal kaynak oluşturulması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Erciyes Teknoloji Transfer Ofisi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F56</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Akademik yılın başında araştırma ile ilgili verilerin ilgili kaynaklardan alınması, araştırma verilerinin işlenmesi ve Kurumsal Araştırma Veritabanına aktarılması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Bilgi İşlem Daire Başkanlığı, Akademik Birimler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F57</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Veri analitiği sistemi ile kurumsal araştırma performansının analiz edilmesi ve raporlanması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F58</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ERÜ Performans yazılımının geliştirme sürecinin tamamlanması, analiz raporlarının dijital olarak araştırmacılar ile paylaşılması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F59</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Rektörlük ile Üniversitenin kurumsal araştırma performansının yıllara ve kurumlara göre karşılaştırmalı olarak değerlendirilmesi, bir sonraki yıla ilişkin kurumsal hedeflerin belirlenmesi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F60</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Akademik yılın başında araştırma ile ilgili verilerin ilgili kaynaklardan alınması, araştırma verilerinin işlenmesi; fakülte, birim ve araştırmacı düzeyinde ayrıştırılması ve Kurumsal Araştırma Veritabanına aktarılması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Akademik Birimler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F61</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Veri analitiği sistemi ile fakültelerin araştırma performansının ve bölümlerin performansa dayalı yetkinliklerinin analiz edilmesi ve raporlanması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Dekanlığıı, Fakülteler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F62</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Verilerin doğruluğunun teyit edilmesi için fakültelerle verilerin paylaşılması, geri dönüşlerin alınması ve fakülte bazlı raporların oluşturulması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Fakülteler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F63</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Rektörlük ile fakülteler arasında yılbaşında araştırma performansı değerlendirme toplantılarının organize edilmesi, fakültelerin bir sonraki yıla ilişkin taahhütlerinin ve taahhütlerini yerine getirmeye yönelik faaliyet planlarının alınması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Fakülteler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F64</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Fakülte ve birim düzeyinde araştırma performansı en üst seviyede olan araştırmacılara yönelik ödül töreni gerçekleştirilmesi ve Rektörlük tarafından teşekkür belgelerinin takdim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Fakülteler, Akademik Birimler,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F65</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Fakülte ve birim düzeyinde araştırma performansı en üst seviyede olan araştırmacılara BAP Koordinatörlüğü bünyesinde Araştırma Performansı Destek Programı kapsamında proje desteği sağlanması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BAP Koordinatörlüğü, Araştırma Dekanlığı,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F66</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Bilim ödülü alan, nitelikli ulusal ve uluslararası projeleri üniversiteye kazandıran, nitelik ve nicelik açısından bilimsel makale sayısı yüksek olan araştırmacılara BAP Koordinatörlüğü bünyesinde ilave proje destekleri sağlanarak ilgili araştırmacıların motive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BAP Koordinatörlüğü, Araştırma Dekanlığı,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F67</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Bilimsel Teşvik Usul ve Esasları kapsamında nitelikli araştırmaları ile üniversitenin performansına katkı sunan araştırmacılara teşvik verilmesi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Araştırma Dekanlığı, Bilimsel Teşvik Komisyonu, Araştırmacılar </w:t>
            </w:r>
          </w:p>
        </w:tc>
      </w:tr>
      <w:tr w:rsidR="002863EC">
        <w:trPr>
          <w:cantSplit/>
          <w:trHeight w:val="78"/>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F68</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Bir önceki yılda bilim ödülü alan, dış kaynaklı projeleri kabul edilen veya patent tescili olan araştırmacılar ile motivasyon yemeği organize edilmesi</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Araştırmacılar </w:t>
            </w:r>
          </w:p>
        </w:tc>
      </w:tr>
      <w:tr w:rsidR="002863EC">
        <w:trPr>
          <w:cantSplit/>
          <w:trHeight w:val="349"/>
        </w:trPr>
        <w:tc>
          <w:tcPr>
            <w:tcW w:w="705" w:type="dxa"/>
            <w:vAlign w:val="center"/>
          </w:tcPr>
          <w:p w:rsidR="002863EC" w:rsidRDefault="00991D45">
            <w:pPr>
              <w:jc w:val="center"/>
              <w:rPr>
                <w:rFonts w:ascii="Calibri" w:eastAsia="Calibri" w:hAnsi="Calibri" w:cs="Calibri"/>
                <w:b/>
                <w:bCs/>
                <w:color w:val="002060"/>
                <w:sz w:val="20"/>
                <w:szCs w:val="20"/>
              </w:rPr>
            </w:pPr>
            <w:r>
              <w:rPr>
                <w:rFonts w:ascii="Calibri" w:eastAsia="Calibri" w:hAnsi="Calibri" w:cs="Calibri"/>
                <w:b/>
                <w:bCs/>
                <w:color w:val="002060"/>
                <w:sz w:val="20"/>
                <w:szCs w:val="20"/>
              </w:rPr>
              <w:t>F69</w:t>
            </w:r>
          </w:p>
        </w:tc>
        <w:tc>
          <w:tcPr>
            <w:tcW w:w="6660" w:type="dxa"/>
            <w:gridSpan w:val="8"/>
          </w:tcPr>
          <w:p w:rsidR="002863EC" w:rsidRDefault="00991D45">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Dış kaynaklı proje geçiren tüm öğretim elemanlarının ve lisans üst öğrencilerin başarılarını web sitesinden ve sosyal medyadan duyurulması, her ayın sonunda teşekkür belgesi düzenlenmesi ve resmi yazı yoluyla başarısının ayrıca duyurulması</w:t>
            </w:r>
          </w:p>
        </w:tc>
        <w:tc>
          <w:tcPr>
            <w:tcW w:w="3150"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 xml:space="preserve">Rektörlük, Araştırma Dekanlığı, Öğretim Elemanları, Lisansüstü Öğrenciler </w:t>
            </w:r>
          </w:p>
        </w:tc>
      </w:tr>
      <w:tr w:rsidR="002863EC">
        <w:trPr>
          <w:cantSplit/>
          <w:trHeight w:val="425"/>
        </w:trPr>
        <w:tc>
          <w:tcPr>
            <w:tcW w:w="10515" w:type="dxa"/>
            <w:gridSpan w:val="12"/>
            <w:shd w:val="clear" w:color="auto" w:fill="auto"/>
            <w:vAlign w:val="center"/>
          </w:tcPr>
          <w:p w:rsidR="002863EC" w:rsidRDefault="00991D45">
            <w:pPr>
              <w:jc w:val="both"/>
              <w:rPr>
                <w:rFonts w:ascii="Calibri" w:eastAsia="Calibri" w:hAnsi="Calibri" w:cs="Calibri"/>
                <w:b/>
                <w:bCs/>
                <w:color w:val="14067A"/>
                <w:sz w:val="20"/>
                <w:szCs w:val="20"/>
              </w:rPr>
            </w:pPr>
            <w:r>
              <w:rPr>
                <w:rFonts w:ascii="Calibri" w:eastAsia="Calibri" w:hAnsi="Calibri" w:cs="Calibri"/>
                <w:b/>
                <w:bCs/>
                <w:color w:val="14067A"/>
                <w:sz w:val="20"/>
                <w:szCs w:val="20"/>
              </w:rPr>
              <w:t xml:space="preserve"> SÜREÇ KONTROL NOKTALARI</w:t>
            </w:r>
          </w:p>
        </w:tc>
      </w:tr>
      <w:tr w:rsidR="002863EC">
        <w:trPr>
          <w:cantSplit/>
          <w:trHeight w:val="362"/>
        </w:trPr>
        <w:tc>
          <w:tcPr>
            <w:tcW w:w="705" w:type="dxa"/>
            <w:vAlign w:val="center"/>
          </w:tcPr>
          <w:p w:rsidR="002863EC" w:rsidRDefault="00991D45">
            <w:pPr>
              <w:pBdr>
                <w:top w:val="nil"/>
                <w:left w:val="nil"/>
                <w:bottom w:val="nil"/>
                <w:right w:val="nil"/>
                <w:between w:val="nil"/>
              </w:pBdr>
              <w:rPr>
                <w:rFonts w:ascii="Calibri" w:eastAsia="Calibri" w:hAnsi="Calibri" w:cs="Calibri"/>
                <w:b/>
                <w:bCs/>
                <w:color w:val="002060"/>
                <w:sz w:val="20"/>
                <w:szCs w:val="20"/>
              </w:rPr>
            </w:pPr>
            <w:r>
              <w:rPr>
                <w:rFonts w:ascii="Calibri" w:eastAsia="Calibri" w:hAnsi="Calibri" w:cs="Calibri"/>
                <w:b/>
                <w:bCs/>
                <w:color w:val="002060"/>
                <w:sz w:val="20"/>
                <w:szCs w:val="20"/>
              </w:rPr>
              <w:t>NO</w:t>
            </w:r>
          </w:p>
        </w:tc>
        <w:tc>
          <w:tcPr>
            <w:tcW w:w="1425" w:type="dxa"/>
            <w:vAlign w:val="center"/>
          </w:tcPr>
          <w:p w:rsidR="002863EC" w:rsidRDefault="00991D45">
            <w:pPr>
              <w:pBdr>
                <w:top w:val="nil"/>
                <w:left w:val="nil"/>
                <w:bottom w:val="nil"/>
                <w:right w:val="nil"/>
                <w:between w:val="nil"/>
              </w:pBdr>
              <w:rPr>
                <w:rFonts w:ascii="Calibri" w:eastAsia="Calibri" w:hAnsi="Calibri" w:cs="Calibri"/>
                <w:b/>
                <w:bCs/>
                <w:color w:val="002060"/>
                <w:sz w:val="20"/>
                <w:szCs w:val="20"/>
              </w:rPr>
            </w:pPr>
            <w:r>
              <w:rPr>
                <w:rFonts w:ascii="Calibri" w:eastAsia="Calibri" w:hAnsi="Calibri" w:cs="Calibri"/>
                <w:b/>
                <w:bCs/>
                <w:color w:val="002060"/>
                <w:sz w:val="20"/>
                <w:szCs w:val="20"/>
              </w:rPr>
              <w:t>KONTROL NOKTASI</w:t>
            </w:r>
          </w:p>
        </w:tc>
        <w:tc>
          <w:tcPr>
            <w:tcW w:w="8385" w:type="dxa"/>
            <w:gridSpan w:val="10"/>
            <w:vAlign w:val="center"/>
          </w:tcPr>
          <w:p w:rsidR="002863EC" w:rsidRDefault="00991D45">
            <w:pPr>
              <w:pBdr>
                <w:top w:val="nil"/>
                <w:left w:val="nil"/>
                <w:bottom w:val="nil"/>
                <w:right w:val="nil"/>
                <w:between w:val="nil"/>
              </w:pBdr>
              <w:rPr>
                <w:rFonts w:ascii="Calibri" w:eastAsia="Calibri" w:hAnsi="Calibri" w:cs="Calibri"/>
                <w:b/>
                <w:bCs/>
                <w:color w:val="002060"/>
                <w:sz w:val="20"/>
                <w:szCs w:val="20"/>
              </w:rPr>
            </w:pPr>
            <w:r>
              <w:rPr>
                <w:rFonts w:ascii="Calibri" w:eastAsia="Calibri" w:hAnsi="Calibri" w:cs="Calibri"/>
                <w:b/>
                <w:bCs/>
                <w:color w:val="002060"/>
                <w:sz w:val="20"/>
                <w:szCs w:val="20"/>
              </w:rPr>
              <w:t>KONTROL FAALİYETİNİN TANIMI</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K1</w:t>
            </w:r>
          </w:p>
        </w:tc>
        <w:tc>
          <w:tcPr>
            <w:tcW w:w="1425" w:type="dxa"/>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Girdi</w:t>
            </w:r>
          </w:p>
        </w:tc>
        <w:tc>
          <w:tcPr>
            <w:tcW w:w="8385" w:type="dxa"/>
            <w:gridSpan w:val="10"/>
            <w:vAlign w:val="center"/>
          </w:tcPr>
          <w:p w:rsidR="002863EC" w:rsidRDefault="00991D45">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Üniversite Stratejik Planı ve AR-GE Eylem Planı ile birim stratejik planlarının uyumunun değerlendirilmesi ve yıllık ile altı aylık izleme süreçlerine katkısının birim üst yönetimi tarafından incelenmesi</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K2</w:t>
            </w:r>
          </w:p>
        </w:tc>
        <w:tc>
          <w:tcPr>
            <w:tcW w:w="1425" w:type="dxa"/>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Girdi</w:t>
            </w:r>
          </w:p>
        </w:tc>
        <w:tc>
          <w:tcPr>
            <w:tcW w:w="8385" w:type="dxa"/>
            <w:gridSpan w:val="10"/>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Araştırma performans verilerinin, proje başvurularının ve araştırma çıktılarının ilgili veri kaynaklarından eksiksiz ve doğru şekilde temin edildiğinin kontrol edilmesi.</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K3</w:t>
            </w:r>
          </w:p>
        </w:tc>
        <w:tc>
          <w:tcPr>
            <w:tcW w:w="1425" w:type="dxa"/>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Süreç</w:t>
            </w:r>
          </w:p>
        </w:tc>
        <w:tc>
          <w:tcPr>
            <w:tcW w:w="8385" w:type="dxa"/>
            <w:gridSpan w:val="10"/>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Araştırma faaliyetlerine yönelik eğitim, bilgilendirme, çalıştay ve iş birliği faaliyetlerinin planlanan şekilde gerçekleştirilmesinin izlenmesi.</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K4</w:t>
            </w:r>
          </w:p>
        </w:tc>
        <w:tc>
          <w:tcPr>
            <w:tcW w:w="1425" w:type="dxa"/>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Süreç</w:t>
            </w:r>
          </w:p>
        </w:tc>
        <w:tc>
          <w:tcPr>
            <w:tcW w:w="8385" w:type="dxa"/>
            <w:gridSpan w:val="10"/>
            <w:vAlign w:val="center"/>
          </w:tcPr>
          <w:p w:rsidR="002863EC" w:rsidRDefault="00991D45">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Ulusal ve uluslararası proje başvurularının, desteklenen proje sayılarının ve proje bütçelerinin periyodik olarak takip edilmesi.</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K5</w:t>
            </w:r>
          </w:p>
        </w:tc>
        <w:tc>
          <w:tcPr>
            <w:tcW w:w="1425" w:type="dxa"/>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Süreç</w:t>
            </w:r>
          </w:p>
        </w:tc>
        <w:tc>
          <w:tcPr>
            <w:tcW w:w="8385" w:type="dxa"/>
            <w:gridSpan w:val="10"/>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Araştırma performans göstergelerinin (yayın, atıf, patent, doktora öğrencisi, dış kaynaklı proje vb.) düzenli olarak analiz edilmesi ve raporlanması.</w:t>
            </w:r>
          </w:p>
        </w:tc>
      </w:tr>
      <w:tr w:rsidR="002863EC">
        <w:trPr>
          <w:cantSplit/>
          <w:trHeight w:val="349"/>
        </w:trPr>
        <w:tc>
          <w:tcPr>
            <w:tcW w:w="705" w:type="dxa"/>
            <w:vAlign w:val="center"/>
          </w:tcPr>
          <w:p w:rsidR="002863EC" w:rsidRDefault="00991D45">
            <w:pPr>
              <w:pBdr>
                <w:top w:val="nil"/>
                <w:left w:val="nil"/>
                <w:bottom w:val="nil"/>
                <w:right w:val="nil"/>
                <w:between w:val="nil"/>
              </w:pBdr>
              <w:jc w:val="center"/>
              <w:rPr>
                <w:rFonts w:ascii="Calibri" w:eastAsia="Calibri" w:hAnsi="Calibri" w:cs="Calibri"/>
                <w:b/>
                <w:bCs/>
                <w:color w:val="002060"/>
                <w:sz w:val="20"/>
                <w:szCs w:val="20"/>
              </w:rPr>
            </w:pPr>
            <w:r>
              <w:rPr>
                <w:rFonts w:ascii="Calibri" w:eastAsia="Calibri" w:hAnsi="Calibri" w:cs="Calibri"/>
                <w:b/>
                <w:bCs/>
                <w:color w:val="002060"/>
                <w:sz w:val="20"/>
                <w:szCs w:val="20"/>
              </w:rPr>
              <w:t>K6</w:t>
            </w:r>
          </w:p>
        </w:tc>
        <w:tc>
          <w:tcPr>
            <w:tcW w:w="1425" w:type="dxa"/>
            <w:vAlign w:val="center"/>
          </w:tcPr>
          <w:p w:rsidR="002863EC" w:rsidRDefault="00991D45">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Çıktı</w:t>
            </w:r>
          </w:p>
        </w:tc>
        <w:tc>
          <w:tcPr>
            <w:tcW w:w="8385" w:type="dxa"/>
            <w:gridSpan w:val="10"/>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Kurumsal araştırma performans raporlarının hazırlanması ve üst yönetim tarafından değerlendirilmesi.</w:t>
            </w:r>
          </w:p>
        </w:tc>
      </w:tr>
      <w:tr w:rsidR="002863EC">
        <w:trPr>
          <w:cantSplit/>
          <w:trHeight w:val="349"/>
        </w:trPr>
        <w:tc>
          <w:tcPr>
            <w:tcW w:w="705" w:type="dxa"/>
          </w:tcPr>
          <w:p w:rsidR="002863EC" w:rsidRDefault="00991D45">
            <w:pPr>
              <w:jc w:val="center"/>
              <w:rPr>
                <w:rFonts w:ascii="Calibri" w:eastAsia="Calibri" w:hAnsi="Calibri" w:cs="Calibri"/>
              </w:rPr>
            </w:pPr>
            <w:r>
              <w:rPr>
                <w:rFonts w:ascii="Calibri" w:eastAsia="Calibri" w:hAnsi="Calibri" w:cs="Calibri"/>
                <w:b/>
                <w:bCs/>
                <w:color w:val="002060"/>
                <w:sz w:val="20"/>
                <w:szCs w:val="20"/>
              </w:rPr>
              <w:t>K7</w:t>
            </w:r>
          </w:p>
        </w:tc>
        <w:tc>
          <w:tcPr>
            <w:tcW w:w="1425" w:type="dxa"/>
            <w:vAlign w:val="center"/>
          </w:tcPr>
          <w:p w:rsidR="002863EC" w:rsidRDefault="00991D45">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Çıktı</w:t>
            </w:r>
          </w:p>
        </w:tc>
        <w:tc>
          <w:tcPr>
            <w:tcW w:w="8385" w:type="dxa"/>
            <w:gridSpan w:val="10"/>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Araştırma performans sonuçlarına göre iyileştirme faaliyetleri, teşvik ve ödül mekanizmalarının değerlendirilmesi.</w:t>
            </w:r>
          </w:p>
        </w:tc>
      </w:tr>
      <w:tr w:rsidR="002863EC">
        <w:trPr>
          <w:cantSplit/>
          <w:trHeight w:val="349"/>
        </w:trPr>
        <w:tc>
          <w:tcPr>
            <w:tcW w:w="705" w:type="dxa"/>
          </w:tcPr>
          <w:p w:rsidR="002863EC" w:rsidRDefault="00991D45">
            <w:pPr>
              <w:jc w:val="center"/>
              <w:rPr>
                <w:rFonts w:ascii="Calibri" w:eastAsia="Calibri" w:hAnsi="Calibri" w:cs="Calibri"/>
              </w:rPr>
            </w:pPr>
            <w:r>
              <w:rPr>
                <w:rFonts w:ascii="Calibri" w:eastAsia="Calibri" w:hAnsi="Calibri" w:cs="Calibri"/>
                <w:b/>
                <w:bCs/>
                <w:color w:val="002060"/>
                <w:sz w:val="20"/>
                <w:szCs w:val="20"/>
              </w:rPr>
              <w:t>K8</w:t>
            </w:r>
          </w:p>
        </w:tc>
        <w:tc>
          <w:tcPr>
            <w:tcW w:w="1425" w:type="dxa"/>
            <w:vAlign w:val="center"/>
          </w:tcPr>
          <w:p w:rsidR="002863EC" w:rsidRDefault="00991D45">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Çıktı</w:t>
            </w:r>
          </w:p>
        </w:tc>
        <w:tc>
          <w:tcPr>
            <w:tcW w:w="8385" w:type="dxa"/>
            <w:gridSpan w:val="10"/>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Üniversitenin ulusal ve uluslararası araştırma performansı ile sıralama sonuçlarının değerlendirilmesi ve gelişim alanlarının belirlenmesi.</w:t>
            </w:r>
          </w:p>
        </w:tc>
      </w:tr>
      <w:tr w:rsidR="002863EC">
        <w:trPr>
          <w:cantSplit/>
          <w:trHeight w:val="349"/>
        </w:trPr>
        <w:tc>
          <w:tcPr>
            <w:tcW w:w="10515" w:type="dxa"/>
            <w:gridSpan w:val="12"/>
            <w:vAlign w:val="center"/>
          </w:tcPr>
          <w:p w:rsidR="002863EC" w:rsidRDefault="00991D45">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14067A"/>
                <w:sz w:val="20"/>
                <w:szCs w:val="20"/>
              </w:rPr>
              <w:t>İZLEME, ÖLÇME VE DEĞERLENDİRME</w:t>
            </w:r>
          </w:p>
        </w:tc>
      </w:tr>
      <w:tr w:rsidR="002863EC">
        <w:trPr>
          <w:cantSplit/>
          <w:trHeight w:val="349"/>
        </w:trPr>
        <w:tc>
          <w:tcPr>
            <w:tcW w:w="2130" w:type="dxa"/>
            <w:gridSpan w:val="2"/>
            <w:vAlign w:val="center"/>
          </w:tcPr>
          <w:p w:rsidR="002863EC" w:rsidRDefault="00991D45">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2060"/>
                <w:sz w:val="20"/>
                <w:szCs w:val="20"/>
              </w:rPr>
              <w:t>SÜREÇ HEDEFİ</w:t>
            </w:r>
          </w:p>
        </w:tc>
        <w:tc>
          <w:tcPr>
            <w:tcW w:w="2415" w:type="dxa"/>
            <w:gridSpan w:val="3"/>
            <w:vAlign w:val="center"/>
          </w:tcPr>
          <w:p w:rsidR="002863EC" w:rsidRDefault="00991D45">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2060"/>
                <w:sz w:val="20"/>
                <w:szCs w:val="20"/>
              </w:rPr>
              <w:t>PERFORMANS /İZLEME GÖSTERGESİ</w:t>
            </w:r>
          </w:p>
        </w:tc>
        <w:tc>
          <w:tcPr>
            <w:tcW w:w="870" w:type="dxa"/>
            <w:gridSpan w:val="2"/>
            <w:vAlign w:val="center"/>
          </w:tcPr>
          <w:p w:rsidR="002863EC" w:rsidRDefault="00991D45">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2060"/>
                <w:sz w:val="20"/>
                <w:szCs w:val="20"/>
              </w:rPr>
              <w:t>YÖNÜ</w:t>
            </w:r>
          </w:p>
        </w:tc>
        <w:tc>
          <w:tcPr>
            <w:tcW w:w="1560" w:type="dxa"/>
            <w:vAlign w:val="center"/>
          </w:tcPr>
          <w:p w:rsidR="002863EC" w:rsidRDefault="00991D45">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2060"/>
                <w:sz w:val="20"/>
                <w:szCs w:val="20"/>
              </w:rPr>
              <w:t>GÖSTERGE BİRİMİ</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2060"/>
                <w:sz w:val="20"/>
                <w:szCs w:val="20"/>
              </w:rPr>
              <w:t>İZLEME PERİYODU</w:t>
            </w:r>
          </w:p>
        </w:tc>
        <w:tc>
          <w:tcPr>
            <w:tcW w:w="1695" w:type="dxa"/>
            <w:vAlign w:val="center"/>
          </w:tcPr>
          <w:p w:rsidR="002863EC" w:rsidRDefault="00991D45">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2060"/>
                <w:sz w:val="20"/>
                <w:szCs w:val="20"/>
              </w:rPr>
              <w:t>RAPORLAMA SORUMLUSU</w:t>
            </w:r>
          </w:p>
        </w:tc>
      </w:tr>
      <w:tr w:rsidR="002863EC">
        <w:trPr>
          <w:cantSplit/>
          <w:trHeight w:val="680"/>
        </w:trPr>
        <w:tc>
          <w:tcPr>
            <w:tcW w:w="2130" w:type="dxa"/>
            <w:gridSpan w:val="2"/>
            <w:vAlign w:val="center"/>
          </w:tcPr>
          <w:p w:rsidR="002863EC" w:rsidRDefault="00991D45">
            <w:pPr>
              <w:pBdr>
                <w:top w:val="nil"/>
                <w:left w:val="nil"/>
                <w:bottom w:val="nil"/>
                <w:right w:val="nil"/>
                <w:between w:val="nil"/>
              </w:pBdr>
              <w:spacing w:after="200" w:line="276" w:lineRule="auto"/>
              <w:rPr>
                <w:rFonts w:ascii="Calibri" w:eastAsia="Calibri" w:hAnsi="Calibri" w:cs="Calibri"/>
                <w:color w:val="002060"/>
                <w:sz w:val="20"/>
                <w:szCs w:val="20"/>
              </w:rPr>
            </w:pPr>
            <w:r>
              <w:rPr>
                <w:rFonts w:ascii="Calibri" w:eastAsia="Calibri" w:hAnsi="Calibri" w:cs="Calibri"/>
                <w:color w:val="000000"/>
                <w:sz w:val="20"/>
                <w:szCs w:val="20"/>
              </w:rPr>
              <w:t>Araştırma kapasitesini artırmak</w:t>
            </w:r>
          </w:p>
        </w:tc>
        <w:tc>
          <w:tcPr>
            <w:tcW w:w="2415" w:type="dxa"/>
            <w:gridSpan w:val="3"/>
            <w:vAlign w:val="center"/>
          </w:tcPr>
          <w:p w:rsidR="002863EC" w:rsidRDefault="00991D45">
            <w:pPr>
              <w:pBdr>
                <w:top w:val="nil"/>
                <w:left w:val="nil"/>
                <w:bottom w:val="nil"/>
                <w:right w:val="nil"/>
                <w:between w:val="nil"/>
              </w:pBdr>
              <w:spacing w:after="200" w:line="276" w:lineRule="auto"/>
              <w:rPr>
                <w:rFonts w:ascii="Calibri" w:eastAsia="Calibri" w:hAnsi="Calibri" w:cs="Calibri"/>
                <w:color w:val="002060"/>
                <w:sz w:val="20"/>
                <w:szCs w:val="20"/>
              </w:rPr>
            </w:pPr>
            <w:r>
              <w:rPr>
                <w:rFonts w:ascii="Calibri" w:eastAsia="Calibri" w:hAnsi="Calibri" w:cs="Calibri"/>
                <w:color w:val="000000"/>
                <w:sz w:val="20"/>
                <w:szCs w:val="20"/>
              </w:rPr>
              <w:t>PG 2.1.1 Öğretim üyesi başına WoS veri tabanında taranan SCI-E, SSCI ve AHCI indekslerinde taranan dergilerdeki makale ve derleme türündeki yayın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restart"/>
            <w:vAlign w:val="center"/>
          </w:tcPr>
          <w:p w:rsidR="002863EC" w:rsidRDefault="002863EC">
            <w:pPr>
              <w:pBdr>
                <w:top w:val="nil"/>
                <w:left w:val="nil"/>
                <w:bottom w:val="nil"/>
                <w:right w:val="nil"/>
                <w:between w:val="nil"/>
              </w:pBdr>
              <w:spacing w:after="200" w:line="276" w:lineRule="auto"/>
              <w:rPr>
                <w:rFonts w:ascii="Calibri" w:eastAsia="Calibri" w:hAnsi="Calibri" w:cs="Calibri"/>
                <w:color w:val="000000"/>
                <w:sz w:val="20"/>
                <w:szCs w:val="20"/>
              </w:rPr>
            </w:pPr>
          </w:p>
        </w:tc>
        <w:tc>
          <w:tcPr>
            <w:tcW w:w="2415" w:type="dxa"/>
            <w:gridSpan w:val="3"/>
            <w:vAlign w:val="center"/>
          </w:tcPr>
          <w:p w:rsidR="002863EC" w:rsidRDefault="00991D45">
            <w:pPr>
              <w:pBdr>
                <w:top w:val="nil"/>
                <w:left w:val="nil"/>
                <w:bottom w:val="nil"/>
                <w:right w:val="nil"/>
                <w:between w:val="nil"/>
              </w:pBdr>
              <w:spacing w:after="200" w:line="276" w:lineRule="auto"/>
              <w:rPr>
                <w:rFonts w:ascii="Calibri" w:eastAsia="Calibri" w:hAnsi="Calibri" w:cs="Calibri"/>
                <w:color w:val="000000"/>
                <w:sz w:val="20"/>
                <w:szCs w:val="20"/>
              </w:rPr>
            </w:pPr>
            <w:r>
              <w:rPr>
                <w:rFonts w:ascii="Calibri" w:eastAsia="Calibri" w:hAnsi="Calibri" w:cs="Calibri"/>
                <w:color w:val="000000"/>
                <w:sz w:val="20"/>
                <w:szCs w:val="20"/>
              </w:rPr>
              <w:t>PG 2.1.2 Öğretim üyesi başına WoS veri tabanında taranan SCI-E, SSCI ve AHCI indekslerinde taranan dergilerdeki makale ve derleme türündeki yayınlara yapılan atıf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 xml:space="preserve">PG 2.1.3 (a) Öğretim üyesi başına kurum dışı ulusal ve uluslararası organizasyonlar tarafından desteklenen proje sayısı / </w:t>
            </w:r>
          </w:p>
          <w:p w:rsidR="002863EC" w:rsidRDefault="00991D45">
            <w:pPr>
              <w:jc w:val="both"/>
              <w:rPr>
                <w:rFonts w:ascii="Calibri" w:eastAsia="Calibri" w:hAnsi="Calibri" w:cs="Calibri"/>
                <w:sz w:val="20"/>
                <w:szCs w:val="20"/>
              </w:rPr>
            </w:pPr>
            <w:r>
              <w:rPr>
                <w:rFonts w:ascii="Calibri" w:eastAsia="Calibri" w:hAnsi="Calibri" w:cs="Calibri"/>
                <w:sz w:val="20"/>
                <w:szCs w:val="20"/>
              </w:rPr>
              <w:t>(b) İlgili projelerden kuruma aktarılan bütçe tutarı (₺)</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 / ₺</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PG 2.1.4 Ulusal ve uluslararası patent başvuru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PG 2.1.5 Ulusal ve uluslararası tescil edilen patent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Align w:val="center"/>
          </w:tcPr>
          <w:p w:rsidR="002863EC" w:rsidRDefault="00991D45">
            <w:pPr>
              <w:pBdr>
                <w:top w:val="nil"/>
                <w:left w:val="nil"/>
                <w:bottom w:val="nil"/>
                <w:right w:val="nil"/>
                <w:between w:val="nil"/>
              </w:pBdr>
              <w:spacing w:after="200" w:line="276" w:lineRule="auto"/>
              <w:rPr>
                <w:rFonts w:ascii="Calibri" w:eastAsia="Calibri" w:hAnsi="Calibri" w:cs="Calibri"/>
                <w:color w:val="000000"/>
                <w:sz w:val="20"/>
                <w:szCs w:val="20"/>
              </w:rPr>
            </w:pPr>
            <w:r>
              <w:rPr>
                <w:rFonts w:ascii="Calibri" w:eastAsia="Calibri" w:hAnsi="Calibri" w:cs="Calibri"/>
                <w:color w:val="000000"/>
                <w:sz w:val="20"/>
                <w:szCs w:val="20"/>
              </w:rPr>
              <w:t>Araştırma kalitesini artırmak</w:t>
            </w: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PG 2.2.1 InCites Dergi Etki Değerinde (a) ilk %50'lik / (b) %10'luk dilime giren bilimsel yayın oranı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restart"/>
            <w:vAlign w:val="center"/>
          </w:tcPr>
          <w:p w:rsidR="002863EC" w:rsidRDefault="002863EC">
            <w:pPr>
              <w:pBdr>
                <w:top w:val="nil"/>
                <w:left w:val="nil"/>
                <w:bottom w:val="nil"/>
                <w:right w:val="nil"/>
                <w:between w:val="nil"/>
              </w:pBdr>
              <w:spacing w:after="200" w:line="276" w:lineRule="auto"/>
              <w:rPr>
                <w:rFonts w:ascii="Calibri" w:eastAsia="Calibri" w:hAnsi="Calibri" w:cs="Calibri"/>
                <w:color w:val="000000"/>
                <w:sz w:val="20"/>
                <w:szCs w:val="20"/>
              </w:rPr>
            </w:pP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PG 2.2.2 Ulusal ve uluslararası (a) doktora öğrenci ve (b) mezun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PG 2.2.3 (a) Öğretim üyelerinin  (b) öğrencilerin, mezun öğrencilerin Teknopark, Kuluçka Merkezi, TEKMER'de ortak veya sahip olduğu faal firma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PG 2.2.4 Doktora sonrası araştırmacı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jc w:val="both"/>
              <w:rPr>
                <w:rFonts w:ascii="Calibri" w:eastAsia="Calibri" w:hAnsi="Calibri" w:cs="Calibri"/>
                <w:sz w:val="20"/>
                <w:szCs w:val="20"/>
              </w:rPr>
            </w:pPr>
            <w:r>
              <w:rPr>
                <w:rFonts w:ascii="Calibri" w:eastAsia="Calibri" w:hAnsi="Calibri" w:cs="Calibri"/>
                <w:sz w:val="20"/>
                <w:szCs w:val="20"/>
              </w:rPr>
              <w:t>PG 2.2.5 Yayınların açık erişim yüzdesi (%)</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Align w:val="center"/>
          </w:tcPr>
          <w:p w:rsidR="002863EC" w:rsidRDefault="00991D45">
            <w:pPr>
              <w:pBdr>
                <w:top w:val="nil"/>
                <w:left w:val="nil"/>
                <w:bottom w:val="nil"/>
                <w:right w:val="nil"/>
                <w:between w:val="nil"/>
              </w:pBdr>
              <w:spacing w:after="200" w:line="276" w:lineRule="auto"/>
              <w:rPr>
                <w:rFonts w:ascii="Calibri" w:eastAsia="Calibri" w:hAnsi="Calibri" w:cs="Calibri"/>
                <w:color w:val="000000"/>
                <w:sz w:val="20"/>
                <w:szCs w:val="20"/>
              </w:rPr>
            </w:pPr>
            <w:r>
              <w:rPr>
                <w:rFonts w:ascii="Calibri" w:eastAsia="Calibri" w:hAnsi="Calibri" w:cs="Calibri"/>
                <w:color w:val="000000"/>
                <w:sz w:val="20"/>
                <w:szCs w:val="20"/>
              </w:rPr>
              <w:t>Ulusal ve uluslararası araştırma iş birliklerini artırmak</w:t>
            </w:r>
          </w:p>
        </w:tc>
        <w:tc>
          <w:tcPr>
            <w:tcW w:w="2415"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PG 2.3.1 Üniversite-üniversite işbirlikli yayın oranı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restart"/>
            <w:vAlign w:val="center"/>
          </w:tcPr>
          <w:p w:rsidR="002863EC" w:rsidRDefault="002863EC">
            <w:pPr>
              <w:pBdr>
                <w:top w:val="nil"/>
                <w:left w:val="nil"/>
                <w:bottom w:val="nil"/>
                <w:right w:val="nil"/>
                <w:between w:val="nil"/>
              </w:pBdr>
              <w:spacing w:after="200" w:line="276" w:lineRule="auto"/>
              <w:rPr>
                <w:rFonts w:ascii="Calibri" w:eastAsia="Calibri" w:hAnsi="Calibri" w:cs="Calibri"/>
                <w:color w:val="000000"/>
                <w:sz w:val="20"/>
                <w:szCs w:val="20"/>
              </w:rPr>
            </w:pPr>
          </w:p>
        </w:tc>
        <w:tc>
          <w:tcPr>
            <w:tcW w:w="2415"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PG 2.3.2 Üniversite-sanayi işbirlikli yayın oranı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PG 2.3.3 Uluslararası işbirlikli yayın oranı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PG 2.3.4 (a) Üniversite-sanayi işbirlikli (b) uluslararası işbirlikli ulusal ve uluslararası patent belge sayısı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r w:rsidR="002863EC">
        <w:trPr>
          <w:cantSplit/>
          <w:trHeight w:val="680"/>
        </w:trPr>
        <w:tc>
          <w:tcPr>
            <w:tcW w:w="2130" w:type="dxa"/>
            <w:gridSpan w:val="2"/>
            <w:vMerge/>
            <w:vAlign w:val="center"/>
          </w:tcPr>
          <w:p w:rsidR="002863EC" w:rsidRDefault="002863EC">
            <w:pPr>
              <w:widowControl w:val="0"/>
              <w:pBdr>
                <w:top w:val="nil"/>
                <w:left w:val="nil"/>
                <w:bottom w:val="nil"/>
                <w:right w:val="nil"/>
                <w:between w:val="nil"/>
              </w:pBdr>
              <w:spacing w:line="276" w:lineRule="auto"/>
              <w:rPr>
                <w:rFonts w:ascii="Calibri" w:eastAsia="Calibri" w:hAnsi="Calibri" w:cs="Calibri"/>
                <w:color w:val="002060"/>
                <w:sz w:val="20"/>
                <w:szCs w:val="20"/>
              </w:rPr>
            </w:pPr>
          </w:p>
        </w:tc>
        <w:tc>
          <w:tcPr>
            <w:tcW w:w="2415" w:type="dxa"/>
            <w:gridSpan w:val="3"/>
            <w:vAlign w:val="center"/>
          </w:tcPr>
          <w:p w:rsidR="002863EC" w:rsidRDefault="00991D45">
            <w:pPr>
              <w:rPr>
                <w:rFonts w:ascii="Calibri" w:eastAsia="Calibri" w:hAnsi="Calibri" w:cs="Calibri"/>
                <w:sz w:val="20"/>
                <w:szCs w:val="20"/>
              </w:rPr>
            </w:pPr>
            <w:r>
              <w:rPr>
                <w:rFonts w:ascii="Calibri" w:eastAsia="Calibri" w:hAnsi="Calibri" w:cs="Calibri"/>
                <w:sz w:val="20"/>
                <w:szCs w:val="20"/>
              </w:rPr>
              <w:t>PG 2.3.5 Kamu fonları kapsamında</w:t>
            </w:r>
          </w:p>
          <w:p w:rsidR="002863EC" w:rsidRDefault="00991D45">
            <w:pPr>
              <w:rPr>
                <w:rFonts w:ascii="Calibri" w:eastAsia="Calibri" w:hAnsi="Calibri" w:cs="Calibri"/>
                <w:sz w:val="20"/>
                <w:szCs w:val="20"/>
              </w:rPr>
            </w:pPr>
            <w:r>
              <w:rPr>
                <w:rFonts w:ascii="Calibri" w:eastAsia="Calibri" w:hAnsi="Calibri" w:cs="Calibri"/>
                <w:sz w:val="20"/>
                <w:szCs w:val="20"/>
              </w:rPr>
              <w:t>Üniversite-İş dünyası iş birliği ile yapılan</w:t>
            </w:r>
          </w:p>
          <w:p w:rsidR="002863EC" w:rsidRDefault="00991D45">
            <w:pPr>
              <w:rPr>
                <w:rFonts w:ascii="Calibri" w:eastAsia="Calibri" w:hAnsi="Calibri" w:cs="Calibri"/>
                <w:sz w:val="20"/>
                <w:szCs w:val="20"/>
              </w:rPr>
            </w:pPr>
            <w:r>
              <w:rPr>
                <w:rFonts w:ascii="Calibri" w:eastAsia="Calibri" w:hAnsi="Calibri" w:cs="Calibri"/>
                <w:sz w:val="20"/>
                <w:szCs w:val="20"/>
              </w:rPr>
              <w:t>Ar-Ge ve yenilik projeleri (a) sayısı ve (b)fon tutarı</w:t>
            </w:r>
          </w:p>
        </w:tc>
        <w:tc>
          <w:tcPr>
            <w:tcW w:w="870" w:type="dxa"/>
            <w:gridSpan w:val="2"/>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w:t>
            </w:r>
          </w:p>
        </w:tc>
        <w:tc>
          <w:tcPr>
            <w:tcW w:w="1560" w:type="dxa"/>
            <w:vAlign w:val="center"/>
          </w:tcPr>
          <w:p w:rsidR="002863EC" w:rsidRDefault="00991D45">
            <w:pPr>
              <w:jc w:val="center"/>
              <w:rPr>
                <w:rFonts w:ascii="Calibri" w:eastAsia="Calibri" w:hAnsi="Calibri" w:cs="Calibri"/>
                <w:sz w:val="20"/>
                <w:szCs w:val="20"/>
              </w:rPr>
            </w:pPr>
            <w:r>
              <w:rPr>
                <w:rFonts w:ascii="Calibri" w:eastAsia="Calibri" w:hAnsi="Calibri" w:cs="Calibri"/>
                <w:sz w:val="20"/>
                <w:szCs w:val="20"/>
              </w:rPr>
              <w:t>Adet / ₺</w:t>
            </w:r>
          </w:p>
        </w:tc>
        <w:tc>
          <w:tcPr>
            <w:tcW w:w="1845" w:type="dxa"/>
            <w:gridSpan w:val="3"/>
            <w:vAlign w:val="center"/>
          </w:tcPr>
          <w:p w:rsidR="002863EC" w:rsidRDefault="00991D45">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6 Aylık-Yıllık </w:t>
            </w:r>
          </w:p>
        </w:tc>
        <w:tc>
          <w:tcPr>
            <w:tcW w:w="1695" w:type="dxa"/>
            <w:vAlign w:val="center"/>
          </w:tcPr>
          <w:p w:rsidR="002863EC" w:rsidRDefault="00991D45">
            <w:p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0000"/>
                <w:sz w:val="20"/>
                <w:szCs w:val="20"/>
              </w:rPr>
              <w:t>Araştırma Dekanlığı</w:t>
            </w:r>
          </w:p>
        </w:tc>
      </w:tr>
    </w:tbl>
    <w:p w:rsidR="002863EC" w:rsidRDefault="002863EC">
      <w:pPr>
        <w:rPr>
          <w:rFonts w:ascii="Calibri" w:eastAsia="Calibri" w:hAnsi="Calibri" w:cs="Calibri"/>
          <w:sz w:val="20"/>
          <w:szCs w:val="20"/>
        </w:rPr>
      </w:pPr>
    </w:p>
    <w:p w:rsidR="002863EC" w:rsidRDefault="002863EC">
      <w:pPr>
        <w:rPr>
          <w:rFonts w:ascii="Calibri" w:eastAsia="Calibri" w:hAnsi="Calibri" w:cs="Calibri"/>
          <w:sz w:val="20"/>
          <w:szCs w:val="20"/>
        </w:rPr>
      </w:pPr>
    </w:p>
    <w:p w:rsidR="002863EC" w:rsidRDefault="002863EC">
      <w:pPr>
        <w:rPr>
          <w:rFonts w:ascii="Calibri" w:eastAsia="Calibri" w:hAnsi="Calibri" w:cs="Calibri"/>
          <w:sz w:val="20"/>
          <w:szCs w:val="20"/>
        </w:rPr>
      </w:pPr>
    </w:p>
    <w:p w:rsidR="002863EC" w:rsidRDefault="002863EC">
      <w:pPr>
        <w:rPr>
          <w:rFonts w:ascii="Calibri" w:eastAsia="Calibri" w:hAnsi="Calibri" w:cs="Calibri"/>
          <w:sz w:val="20"/>
          <w:szCs w:val="20"/>
        </w:rPr>
      </w:pPr>
    </w:p>
    <w:p w:rsidR="002863EC" w:rsidRDefault="002863EC">
      <w:pPr>
        <w:rPr>
          <w:rFonts w:ascii="Calibri" w:eastAsia="Calibri" w:hAnsi="Calibri" w:cs="Calibri"/>
          <w:sz w:val="20"/>
          <w:szCs w:val="20"/>
        </w:rPr>
      </w:pPr>
    </w:p>
    <w:p w:rsidR="002863EC" w:rsidRDefault="002863EC">
      <w:pPr>
        <w:rPr>
          <w:rFonts w:ascii="Calibri" w:eastAsia="Calibri" w:hAnsi="Calibri" w:cs="Calibri"/>
          <w:sz w:val="20"/>
          <w:szCs w:val="20"/>
        </w:rPr>
      </w:pPr>
    </w:p>
    <w:p w:rsidR="002863EC" w:rsidRDefault="002863EC">
      <w:pPr>
        <w:rPr>
          <w:rFonts w:ascii="Calibri" w:eastAsia="Calibri" w:hAnsi="Calibri" w:cs="Calibri"/>
          <w:sz w:val="20"/>
          <w:szCs w:val="20"/>
        </w:rPr>
      </w:pPr>
    </w:p>
    <w:sectPr w:rsidR="002863EC">
      <w:headerReference w:type="default" r:id="rId7"/>
      <w:pgSz w:w="11906" w:h="16838"/>
      <w:pgMar w:top="1417" w:right="1417" w:bottom="1417" w:left="141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A39" w:rsidRDefault="00995A39">
      <w:r>
        <w:separator/>
      </w:r>
    </w:p>
  </w:endnote>
  <w:endnote w:type="continuationSeparator" w:id="0">
    <w:p w:rsidR="00995A39" w:rsidRDefault="0099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36280C54-1779-42F2-8FC4-71C8BCF0FD16}"/>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2" w:fontKey="{E2E66C15-733C-46F7-8088-F3E54F702327}"/>
    <w:embedBold r:id="rId3" w:fontKey="{7A5377B5-7FB6-4D32-B9C2-706F81A82BA5}"/>
  </w:font>
  <w:font w:name="Cambria">
    <w:panose1 w:val="02040503050406030204"/>
    <w:charset w:val="A2"/>
    <w:family w:val="roman"/>
    <w:pitch w:val="variable"/>
    <w:sig w:usb0="E00006FF" w:usb1="420024FF" w:usb2="02000000" w:usb3="00000000" w:csb0="0000019F" w:csb1="00000000"/>
    <w:embedRegular r:id="rId4" w:fontKey="{F1112C15-A108-4153-936B-EC64F09ABAEB}"/>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A39" w:rsidRDefault="00995A39">
      <w:r>
        <w:separator/>
      </w:r>
    </w:p>
  </w:footnote>
  <w:footnote w:type="continuationSeparator" w:id="0">
    <w:p w:rsidR="00995A39" w:rsidRDefault="00995A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3EC" w:rsidRDefault="002863EC">
    <w:pPr>
      <w:widowControl w:val="0"/>
      <w:pBdr>
        <w:top w:val="nil"/>
        <w:left w:val="nil"/>
        <w:bottom w:val="nil"/>
        <w:right w:val="nil"/>
        <w:between w:val="nil"/>
      </w:pBdr>
      <w:spacing w:line="276" w:lineRule="auto"/>
      <w:rPr>
        <w:rFonts w:ascii="Calibri" w:eastAsia="Calibri" w:hAnsi="Calibri" w:cs="Calibri"/>
        <w:sz w:val="20"/>
        <w:szCs w:val="20"/>
      </w:rPr>
    </w:pPr>
  </w:p>
  <w:tbl>
    <w:tblPr>
      <w:tblStyle w:val="a0"/>
      <w:tblW w:w="10488" w:type="dxa"/>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5"/>
      <w:gridCol w:w="4355"/>
      <w:gridCol w:w="1814"/>
      <w:gridCol w:w="1304"/>
    </w:tblGrid>
    <w:tr w:rsidR="00EB5301" w:rsidTr="00D339E2">
      <w:trPr>
        <w:trHeight w:val="277"/>
      </w:trPr>
      <w:tc>
        <w:tcPr>
          <w:tcW w:w="3015" w:type="dxa"/>
          <w:vMerge w:val="restart"/>
          <w:vAlign w:val="center"/>
        </w:tcPr>
        <w:p w:rsidR="00EB5301" w:rsidRDefault="00EB5301">
          <w:pPr>
            <w:pBdr>
              <w:top w:val="nil"/>
              <w:left w:val="nil"/>
              <w:bottom w:val="nil"/>
              <w:right w:val="nil"/>
              <w:between w:val="nil"/>
            </w:pBdr>
            <w:tabs>
              <w:tab w:val="center" w:pos="4536"/>
              <w:tab w:val="right" w:pos="9072"/>
            </w:tabs>
            <w:jc w:val="center"/>
            <w:rPr>
              <w:color w:val="000000"/>
            </w:rPr>
          </w:pPr>
          <w:r>
            <w:rPr>
              <w:noProof/>
              <w:color w:val="000000"/>
              <w:lang w:val="tr-TR"/>
            </w:rPr>
            <w:drawing>
              <wp:inline distT="0" distB="0" distL="0" distR="0" wp14:anchorId="790A8E91" wp14:editId="250C5992">
                <wp:extent cx="809625" cy="8096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1).png"/>
                        <pic:cNvPicPr/>
                      </pic:nvPicPr>
                      <pic:blipFill>
                        <a:blip r:embed="rId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p>
      </w:tc>
      <w:tc>
        <w:tcPr>
          <w:tcW w:w="4355" w:type="dxa"/>
          <w:vMerge w:val="restart"/>
          <w:vAlign w:val="center"/>
        </w:tcPr>
        <w:p w:rsidR="00EB5301" w:rsidRPr="00687420" w:rsidRDefault="00EB5301" w:rsidP="00687420">
          <w:pPr>
            <w:pBdr>
              <w:top w:val="nil"/>
              <w:left w:val="nil"/>
              <w:bottom w:val="nil"/>
              <w:right w:val="nil"/>
              <w:between w:val="nil"/>
            </w:pBdr>
            <w:tabs>
              <w:tab w:val="center" w:pos="4536"/>
              <w:tab w:val="right" w:pos="9072"/>
            </w:tabs>
            <w:spacing w:line="360" w:lineRule="auto"/>
            <w:jc w:val="center"/>
            <w:rPr>
              <w:color w:val="000000"/>
            </w:rPr>
          </w:pPr>
          <w:r w:rsidRPr="00687420">
            <w:rPr>
              <w:rFonts w:eastAsia="Calibri"/>
              <w:b/>
              <w:bCs/>
              <w:color w:val="14067A"/>
            </w:rPr>
            <w:t>ARAŞTIRMA DEKANLIĞI SÜREÇLERİ</w:t>
          </w:r>
        </w:p>
        <w:p w:rsidR="00EB5301" w:rsidRPr="00EB5301" w:rsidRDefault="00EB5301" w:rsidP="00687420">
          <w:pPr>
            <w:pBdr>
              <w:top w:val="nil"/>
              <w:left w:val="nil"/>
              <w:bottom w:val="nil"/>
              <w:right w:val="nil"/>
              <w:between w:val="nil"/>
            </w:pBdr>
            <w:tabs>
              <w:tab w:val="center" w:pos="4536"/>
              <w:tab w:val="right" w:pos="9072"/>
            </w:tabs>
            <w:spacing w:line="360" w:lineRule="auto"/>
            <w:jc w:val="center"/>
          </w:pPr>
          <w:r w:rsidRPr="00687420">
            <w:rPr>
              <w:rFonts w:eastAsia="Calibri"/>
              <w:b/>
              <w:bCs/>
              <w:color w:val="14067A"/>
            </w:rPr>
            <w:t>ARGE SÜREÇ FORMU</w:t>
          </w:r>
        </w:p>
      </w:tc>
      <w:tc>
        <w:tcPr>
          <w:tcW w:w="1814" w:type="dxa"/>
          <w:vAlign w:val="center"/>
        </w:tcPr>
        <w:p w:rsidR="00EB5301" w:rsidRPr="00687420" w:rsidRDefault="00EB5301">
          <w:pPr>
            <w:pBdr>
              <w:top w:val="nil"/>
              <w:left w:val="nil"/>
              <w:bottom w:val="nil"/>
              <w:right w:val="nil"/>
              <w:between w:val="nil"/>
            </w:pBdr>
            <w:tabs>
              <w:tab w:val="center" w:pos="4536"/>
              <w:tab w:val="right" w:pos="9072"/>
            </w:tabs>
            <w:rPr>
              <w:rFonts w:asciiTheme="majorHAnsi" w:hAnsiTheme="majorHAnsi" w:cstheme="majorHAnsi"/>
              <w:b/>
              <w:bCs/>
              <w:color w:val="000000"/>
              <w:sz w:val="20"/>
              <w:szCs w:val="20"/>
            </w:rPr>
          </w:pPr>
          <w:r w:rsidRPr="00687420">
            <w:rPr>
              <w:rFonts w:asciiTheme="majorHAnsi" w:hAnsiTheme="majorHAnsi" w:cstheme="majorHAnsi"/>
              <w:b/>
              <w:bCs/>
              <w:color w:val="000000"/>
              <w:sz w:val="20"/>
              <w:szCs w:val="20"/>
            </w:rPr>
            <w:t>Doküman No</w:t>
          </w:r>
        </w:p>
      </w:tc>
      <w:tc>
        <w:tcPr>
          <w:tcW w:w="1304" w:type="dxa"/>
          <w:vAlign w:val="center"/>
        </w:tcPr>
        <w:p w:rsidR="00EB5301" w:rsidRPr="00687420" w:rsidRDefault="00EB5301">
          <w:pPr>
            <w:pBdr>
              <w:top w:val="nil"/>
              <w:left w:val="nil"/>
              <w:bottom w:val="nil"/>
              <w:right w:val="nil"/>
              <w:between w:val="nil"/>
            </w:pBdr>
            <w:tabs>
              <w:tab w:val="center" w:pos="4536"/>
              <w:tab w:val="right" w:pos="9072"/>
            </w:tabs>
            <w:rPr>
              <w:rFonts w:asciiTheme="majorHAnsi" w:hAnsiTheme="majorHAnsi" w:cstheme="majorHAnsi"/>
              <w:color w:val="000000"/>
              <w:sz w:val="20"/>
              <w:szCs w:val="20"/>
            </w:rPr>
          </w:pPr>
          <w:r w:rsidRPr="00687420">
            <w:rPr>
              <w:rFonts w:asciiTheme="majorHAnsi" w:hAnsiTheme="majorHAnsi" w:cstheme="majorHAnsi"/>
              <w:color w:val="000000"/>
              <w:sz w:val="20"/>
              <w:szCs w:val="20"/>
            </w:rPr>
            <w:t>AD.FRM.13</w:t>
          </w:r>
        </w:p>
      </w:tc>
    </w:tr>
    <w:tr w:rsidR="00EB5301" w:rsidTr="00D339E2">
      <w:trPr>
        <w:trHeight w:val="296"/>
      </w:trPr>
      <w:tc>
        <w:tcPr>
          <w:tcW w:w="3015" w:type="dxa"/>
          <w:vMerge/>
          <w:vAlign w:val="center"/>
        </w:tcPr>
        <w:p w:rsidR="00EB5301" w:rsidRDefault="00EB5301">
          <w:pPr>
            <w:widowControl w:val="0"/>
            <w:pBdr>
              <w:top w:val="nil"/>
              <w:left w:val="nil"/>
              <w:bottom w:val="nil"/>
              <w:right w:val="nil"/>
              <w:between w:val="nil"/>
            </w:pBdr>
            <w:spacing w:line="276" w:lineRule="auto"/>
            <w:rPr>
              <w:color w:val="000000"/>
              <w:sz w:val="16"/>
              <w:szCs w:val="16"/>
            </w:rPr>
          </w:pPr>
        </w:p>
      </w:tc>
      <w:tc>
        <w:tcPr>
          <w:tcW w:w="4355" w:type="dxa"/>
          <w:vMerge/>
          <w:vAlign w:val="center"/>
        </w:tcPr>
        <w:p w:rsidR="00EB5301" w:rsidRDefault="00EB5301">
          <w:pPr>
            <w:widowControl w:val="0"/>
            <w:pBdr>
              <w:top w:val="nil"/>
              <w:left w:val="nil"/>
              <w:bottom w:val="nil"/>
              <w:right w:val="nil"/>
              <w:between w:val="nil"/>
            </w:pBdr>
            <w:spacing w:line="276" w:lineRule="auto"/>
            <w:rPr>
              <w:color w:val="000000"/>
              <w:sz w:val="16"/>
              <w:szCs w:val="16"/>
            </w:rPr>
          </w:pPr>
        </w:p>
      </w:tc>
      <w:tc>
        <w:tcPr>
          <w:tcW w:w="1814" w:type="dxa"/>
          <w:vAlign w:val="center"/>
        </w:tcPr>
        <w:p w:rsidR="00EB5301" w:rsidRPr="00687420" w:rsidRDefault="00D339E2">
          <w:pPr>
            <w:pBdr>
              <w:top w:val="nil"/>
              <w:left w:val="nil"/>
              <w:bottom w:val="nil"/>
              <w:right w:val="nil"/>
              <w:between w:val="nil"/>
            </w:pBdr>
            <w:tabs>
              <w:tab w:val="center" w:pos="4536"/>
              <w:tab w:val="right" w:pos="9072"/>
            </w:tabs>
            <w:rPr>
              <w:rFonts w:asciiTheme="majorHAnsi" w:hAnsiTheme="majorHAnsi" w:cstheme="majorHAnsi"/>
              <w:b/>
              <w:bCs/>
              <w:color w:val="000000"/>
              <w:sz w:val="20"/>
              <w:szCs w:val="20"/>
            </w:rPr>
          </w:pPr>
          <w:r w:rsidRPr="00687420">
            <w:rPr>
              <w:rFonts w:asciiTheme="majorHAnsi" w:hAnsiTheme="majorHAnsi" w:cstheme="majorHAnsi"/>
              <w:b/>
              <w:bCs/>
              <w:color w:val="000000"/>
              <w:sz w:val="20"/>
              <w:szCs w:val="20"/>
            </w:rPr>
            <w:t>Yayın Tarihi</w:t>
          </w:r>
        </w:p>
      </w:tc>
      <w:tc>
        <w:tcPr>
          <w:tcW w:w="1304" w:type="dxa"/>
          <w:vAlign w:val="center"/>
        </w:tcPr>
        <w:p w:rsidR="00EB5301" w:rsidRPr="00687420" w:rsidRDefault="00D339E2" w:rsidP="00D339E2">
          <w:pPr>
            <w:pBdr>
              <w:top w:val="nil"/>
              <w:left w:val="nil"/>
              <w:bottom w:val="nil"/>
              <w:right w:val="nil"/>
              <w:between w:val="nil"/>
            </w:pBdr>
            <w:tabs>
              <w:tab w:val="center" w:pos="4536"/>
              <w:tab w:val="right" w:pos="9072"/>
            </w:tabs>
            <w:rPr>
              <w:rFonts w:asciiTheme="majorHAnsi" w:hAnsiTheme="majorHAnsi" w:cstheme="majorHAnsi"/>
              <w:color w:val="000000"/>
              <w:sz w:val="20"/>
              <w:szCs w:val="20"/>
            </w:rPr>
          </w:pPr>
          <w:r w:rsidRPr="00687420">
            <w:rPr>
              <w:rFonts w:asciiTheme="majorHAnsi" w:hAnsiTheme="majorHAnsi" w:cstheme="majorHAnsi"/>
              <w:color w:val="000000"/>
              <w:sz w:val="20"/>
              <w:szCs w:val="20"/>
            </w:rPr>
            <w:t>12.04.2025</w:t>
          </w:r>
        </w:p>
      </w:tc>
    </w:tr>
    <w:tr w:rsidR="00D339E2" w:rsidTr="00D339E2">
      <w:trPr>
        <w:trHeight w:val="243"/>
      </w:trPr>
      <w:tc>
        <w:tcPr>
          <w:tcW w:w="3015" w:type="dxa"/>
          <w:vMerge/>
          <w:vAlign w:val="center"/>
        </w:tcPr>
        <w:p w:rsidR="00D339E2" w:rsidRDefault="00D339E2" w:rsidP="00D339E2">
          <w:pPr>
            <w:widowControl w:val="0"/>
            <w:pBdr>
              <w:top w:val="nil"/>
              <w:left w:val="nil"/>
              <w:bottom w:val="nil"/>
              <w:right w:val="nil"/>
              <w:between w:val="nil"/>
            </w:pBdr>
            <w:spacing w:line="276" w:lineRule="auto"/>
            <w:rPr>
              <w:color w:val="000000"/>
              <w:sz w:val="16"/>
              <w:szCs w:val="16"/>
            </w:rPr>
          </w:pPr>
        </w:p>
      </w:tc>
      <w:tc>
        <w:tcPr>
          <w:tcW w:w="4355" w:type="dxa"/>
          <w:vMerge/>
          <w:vAlign w:val="center"/>
        </w:tcPr>
        <w:p w:rsidR="00D339E2" w:rsidRDefault="00D339E2" w:rsidP="00D339E2">
          <w:pPr>
            <w:widowControl w:val="0"/>
            <w:pBdr>
              <w:top w:val="nil"/>
              <w:left w:val="nil"/>
              <w:bottom w:val="nil"/>
              <w:right w:val="nil"/>
              <w:between w:val="nil"/>
            </w:pBdr>
            <w:spacing w:line="276" w:lineRule="auto"/>
            <w:rPr>
              <w:color w:val="000000"/>
              <w:sz w:val="16"/>
              <w:szCs w:val="16"/>
            </w:rPr>
          </w:pPr>
        </w:p>
      </w:tc>
      <w:tc>
        <w:tcPr>
          <w:tcW w:w="1814" w:type="dxa"/>
          <w:vAlign w:val="center"/>
        </w:tcPr>
        <w:p w:rsidR="00D339E2" w:rsidRPr="00687420" w:rsidRDefault="00D339E2" w:rsidP="00D339E2">
          <w:pPr>
            <w:pBdr>
              <w:top w:val="nil"/>
              <w:left w:val="nil"/>
              <w:bottom w:val="nil"/>
              <w:right w:val="nil"/>
              <w:between w:val="nil"/>
            </w:pBdr>
            <w:tabs>
              <w:tab w:val="center" w:pos="4536"/>
              <w:tab w:val="right" w:pos="9072"/>
            </w:tabs>
            <w:rPr>
              <w:rFonts w:asciiTheme="majorHAnsi" w:hAnsiTheme="majorHAnsi" w:cstheme="majorHAnsi"/>
              <w:b/>
              <w:bCs/>
              <w:color w:val="000000"/>
              <w:sz w:val="20"/>
              <w:szCs w:val="20"/>
            </w:rPr>
          </w:pPr>
          <w:r w:rsidRPr="00687420">
            <w:rPr>
              <w:rFonts w:asciiTheme="majorHAnsi" w:hAnsiTheme="majorHAnsi" w:cstheme="majorHAnsi"/>
              <w:b/>
              <w:bCs/>
              <w:color w:val="000000"/>
              <w:sz w:val="20"/>
              <w:szCs w:val="20"/>
            </w:rPr>
            <w:t>Revizyon No</w:t>
          </w:r>
        </w:p>
      </w:tc>
      <w:tc>
        <w:tcPr>
          <w:tcW w:w="1304" w:type="dxa"/>
          <w:vAlign w:val="center"/>
        </w:tcPr>
        <w:p w:rsidR="00D339E2" w:rsidRPr="00687420" w:rsidRDefault="00D339E2" w:rsidP="00D339E2">
          <w:pPr>
            <w:pBdr>
              <w:top w:val="nil"/>
              <w:left w:val="nil"/>
              <w:bottom w:val="nil"/>
              <w:right w:val="nil"/>
              <w:between w:val="nil"/>
            </w:pBdr>
            <w:tabs>
              <w:tab w:val="center" w:pos="4536"/>
              <w:tab w:val="right" w:pos="9072"/>
            </w:tabs>
            <w:rPr>
              <w:rFonts w:asciiTheme="majorHAnsi" w:hAnsiTheme="majorHAnsi" w:cstheme="majorHAnsi"/>
              <w:color w:val="000000"/>
              <w:sz w:val="20"/>
              <w:szCs w:val="20"/>
            </w:rPr>
          </w:pPr>
          <w:r w:rsidRPr="00687420">
            <w:rPr>
              <w:rFonts w:asciiTheme="majorHAnsi" w:hAnsiTheme="majorHAnsi" w:cstheme="majorHAnsi"/>
              <w:color w:val="000000"/>
              <w:sz w:val="20"/>
              <w:szCs w:val="20"/>
            </w:rPr>
            <w:t>01</w:t>
          </w:r>
        </w:p>
      </w:tc>
    </w:tr>
    <w:tr w:rsidR="00EB5301" w:rsidTr="00D339E2">
      <w:trPr>
        <w:trHeight w:val="289"/>
      </w:trPr>
      <w:tc>
        <w:tcPr>
          <w:tcW w:w="3015" w:type="dxa"/>
          <w:vMerge/>
          <w:vAlign w:val="center"/>
        </w:tcPr>
        <w:p w:rsidR="00EB5301" w:rsidRDefault="00EB5301">
          <w:pPr>
            <w:widowControl w:val="0"/>
            <w:pBdr>
              <w:top w:val="nil"/>
              <w:left w:val="nil"/>
              <w:bottom w:val="nil"/>
              <w:right w:val="nil"/>
              <w:between w:val="nil"/>
            </w:pBdr>
            <w:spacing w:line="276" w:lineRule="auto"/>
            <w:rPr>
              <w:color w:val="000000"/>
              <w:sz w:val="16"/>
              <w:szCs w:val="16"/>
            </w:rPr>
          </w:pPr>
        </w:p>
      </w:tc>
      <w:tc>
        <w:tcPr>
          <w:tcW w:w="4355" w:type="dxa"/>
          <w:vMerge/>
          <w:vAlign w:val="center"/>
        </w:tcPr>
        <w:p w:rsidR="00EB5301" w:rsidRDefault="00EB5301">
          <w:pPr>
            <w:widowControl w:val="0"/>
            <w:pBdr>
              <w:top w:val="nil"/>
              <w:left w:val="nil"/>
              <w:bottom w:val="nil"/>
              <w:right w:val="nil"/>
              <w:between w:val="nil"/>
            </w:pBdr>
            <w:spacing w:line="276" w:lineRule="auto"/>
            <w:rPr>
              <w:color w:val="000000"/>
              <w:sz w:val="16"/>
              <w:szCs w:val="16"/>
            </w:rPr>
          </w:pPr>
        </w:p>
      </w:tc>
      <w:tc>
        <w:tcPr>
          <w:tcW w:w="1814" w:type="dxa"/>
          <w:vAlign w:val="center"/>
        </w:tcPr>
        <w:p w:rsidR="00EB5301" w:rsidRPr="00687420" w:rsidRDefault="00EB5301">
          <w:pPr>
            <w:pBdr>
              <w:top w:val="nil"/>
              <w:left w:val="nil"/>
              <w:bottom w:val="nil"/>
              <w:right w:val="nil"/>
              <w:between w:val="nil"/>
            </w:pBdr>
            <w:tabs>
              <w:tab w:val="center" w:pos="4536"/>
              <w:tab w:val="right" w:pos="9072"/>
            </w:tabs>
            <w:rPr>
              <w:rFonts w:asciiTheme="majorHAnsi" w:hAnsiTheme="majorHAnsi" w:cstheme="majorHAnsi"/>
              <w:b/>
              <w:bCs/>
              <w:color w:val="000000"/>
              <w:sz w:val="20"/>
              <w:szCs w:val="20"/>
            </w:rPr>
          </w:pPr>
          <w:r w:rsidRPr="00687420">
            <w:rPr>
              <w:rFonts w:asciiTheme="majorHAnsi" w:hAnsiTheme="majorHAnsi" w:cstheme="majorHAnsi"/>
              <w:b/>
              <w:bCs/>
              <w:color w:val="000000"/>
              <w:sz w:val="20"/>
              <w:szCs w:val="20"/>
            </w:rPr>
            <w:t>Revizyon Tarihi</w:t>
          </w:r>
        </w:p>
      </w:tc>
      <w:tc>
        <w:tcPr>
          <w:tcW w:w="1304" w:type="dxa"/>
          <w:vAlign w:val="center"/>
        </w:tcPr>
        <w:p w:rsidR="00EB5301" w:rsidRPr="00687420" w:rsidRDefault="00EB5301">
          <w:pPr>
            <w:pBdr>
              <w:top w:val="nil"/>
              <w:left w:val="nil"/>
              <w:bottom w:val="nil"/>
              <w:right w:val="nil"/>
              <w:between w:val="nil"/>
            </w:pBdr>
            <w:tabs>
              <w:tab w:val="center" w:pos="4536"/>
              <w:tab w:val="right" w:pos="9072"/>
            </w:tabs>
            <w:rPr>
              <w:rFonts w:asciiTheme="majorHAnsi" w:hAnsiTheme="majorHAnsi" w:cstheme="majorHAnsi"/>
              <w:color w:val="000000"/>
              <w:sz w:val="20"/>
              <w:szCs w:val="20"/>
            </w:rPr>
          </w:pPr>
          <w:r w:rsidRPr="00687420">
            <w:rPr>
              <w:rFonts w:asciiTheme="majorHAnsi" w:hAnsiTheme="majorHAnsi" w:cstheme="majorHAnsi"/>
              <w:color w:val="000000"/>
              <w:sz w:val="20"/>
              <w:szCs w:val="20"/>
            </w:rPr>
            <w:t>10.06.2026</w:t>
          </w:r>
        </w:p>
      </w:tc>
    </w:tr>
    <w:tr w:rsidR="00EB5301" w:rsidTr="00D339E2">
      <w:trPr>
        <w:trHeight w:val="122"/>
      </w:trPr>
      <w:tc>
        <w:tcPr>
          <w:tcW w:w="3015" w:type="dxa"/>
          <w:vMerge/>
          <w:vAlign w:val="center"/>
        </w:tcPr>
        <w:p w:rsidR="00EB5301" w:rsidRDefault="00EB5301">
          <w:pPr>
            <w:widowControl w:val="0"/>
            <w:pBdr>
              <w:top w:val="nil"/>
              <w:left w:val="nil"/>
              <w:bottom w:val="nil"/>
              <w:right w:val="nil"/>
              <w:between w:val="nil"/>
            </w:pBdr>
            <w:spacing w:line="276" w:lineRule="auto"/>
            <w:rPr>
              <w:color w:val="000000"/>
              <w:sz w:val="16"/>
              <w:szCs w:val="16"/>
            </w:rPr>
          </w:pPr>
        </w:p>
      </w:tc>
      <w:tc>
        <w:tcPr>
          <w:tcW w:w="4355" w:type="dxa"/>
          <w:vMerge/>
          <w:vAlign w:val="center"/>
        </w:tcPr>
        <w:p w:rsidR="00EB5301" w:rsidRDefault="00EB5301" w:rsidP="0004283A">
          <w:pPr>
            <w:pBdr>
              <w:top w:val="nil"/>
              <w:left w:val="nil"/>
              <w:bottom w:val="nil"/>
              <w:right w:val="nil"/>
              <w:between w:val="nil"/>
            </w:pBdr>
            <w:tabs>
              <w:tab w:val="center" w:pos="4536"/>
              <w:tab w:val="right" w:pos="9072"/>
            </w:tabs>
            <w:jc w:val="center"/>
            <w:rPr>
              <w:rFonts w:ascii="Calibri" w:eastAsia="Calibri" w:hAnsi="Calibri" w:cs="Calibri"/>
              <w:b/>
              <w:bCs/>
              <w:color w:val="14067A"/>
            </w:rPr>
          </w:pPr>
        </w:p>
      </w:tc>
      <w:tc>
        <w:tcPr>
          <w:tcW w:w="1814" w:type="dxa"/>
          <w:vAlign w:val="center"/>
        </w:tcPr>
        <w:p w:rsidR="00EB5301" w:rsidRPr="00687420" w:rsidRDefault="00EB5301">
          <w:pPr>
            <w:pBdr>
              <w:top w:val="nil"/>
              <w:left w:val="nil"/>
              <w:bottom w:val="nil"/>
              <w:right w:val="nil"/>
              <w:between w:val="nil"/>
            </w:pBdr>
            <w:tabs>
              <w:tab w:val="center" w:pos="4536"/>
              <w:tab w:val="right" w:pos="9072"/>
            </w:tabs>
            <w:rPr>
              <w:rFonts w:asciiTheme="majorHAnsi" w:hAnsiTheme="majorHAnsi" w:cstheme="majorHAnsi"/>
              <w:b/>
              <w:bCs/>
              <w:color w:val="000000"/>
              <w:sz w:val="20"/>
              <w:szCs w:val="20"/>
            </w:rPr>
          </w:pPr>
          <w:r w:rsidRPr="00687420">
            <w:rPr>
              <w:rFonts w:asciiTheme="majorHAnsi" w:hAnsiTheme="majorHAnsi" w:cstheme="majorHAnsi"/>
              <w:b/>
              <w:bCs/>
              <w:color w:val="000000"/>
              <w:sz w:val="20"/>
              <w:szCs w:val="20"/>
            </w:rPr>
            <w:t>Sayfa No</w:t>
          </w:r>
        </w:p>
      </w:tc>
      <w:tc>
        <w:tcPr>
          <w:tcW w:w="1304" w:type="dxa"/>
          <w:vAlign w:val="center"/>
        </w:tcPr>
        <w:p w:rsidR="00EB5301" w:rsidRPr="00687420" w:rsidRDefault="00EB5301">
          <w:pPr>
            <w:pBdr>
              <w:top w:val="nil"/>
              <w:left w:val="nil"/>
              <w:bottom w:val="nil"/>
              <w:right w:val="nil"/>
              <w:between w:val="nil"/>
            </w:pBdr>
            <w:tabs>
              <w:tab w:val="center" w:pos="4536"/>
              <w:tab w:val="right" w:pos="9072"/>
            </w:tabs>
            <w:rPr>
              <w:rFonts w:asciiTheme="majorHAnsi" w:hAnsiTheme="majorHAnsi" w:cstheme="majorHAnsi"/>
              <w:color w:val="000000"/>
              <w:sz w:val="20"/>
              <w:szCs w:val="20"/>
            </w:rPr>
          </w:pPr>
          <w:r w:rsidRPr="00687420">
            <w:rPr>
              <w:rFonts w:asciiTheme="majorHAnsi" w:hAnsiTheme="majorHAnsi" w:cstheme="majorHAnsi"/>
              <w:color w:val="000000"/>
              <w:sz w:val="20"/>
              <w:szCs w:val="20"/>
            </w:rPr>
            <w:t xml:space="preserve">Sayfa </w:t>
          </w:r>
          <w:r w:rsidRPr="00687420">
            <w:rPr>
              <w:rFonts w:asciiTheme="majorHAnsi" w:hAnsiTheme="majorHAnsi" w:cstheme="majorHAnsi"/>
              <w:color w:val="000000"/>
              <w:sz w:val="20"/>
              <w:szCs w:val="20"/>
            </w:rPr>
            <w:fldChar w:fldCharType="begin"/>
          </w:r>
          <w:r w:rsidRPr="00687420">
            <w:rPr>
              <w:rFonts w:asciiTheme="majorHAnsi" w:hAnsiTheme="majorHAnsi" w:cstheme="majorHAnsi"/>
              <w:color w:val="000000"/>
              <w:sz w:val="20"/>
              <w:szCs w:val="20"/>
            </w:rPr>
            <w:instrText>PAGE</w:instrText>
          </w:r>
          <w:r w:rsidRPr="00687420">
            <w:rPr>
              <w:rFonts w:asciiTheme="majorHAnsi" w:hAnsiTheme="majorHAnsi" w:cstheme="majorHAnsi"/>
              <w:color w:val="000000"/>
              <w:sz w:val="20"/>
              <w:szCs w:val="20"/>
            </w:rPr>
            <w:fldChar w:fldCharType="separate"/>
          </w:r>
          <w:r w:rsidR="00995A39">
            <w:rPr>
              <w:rFonts w:asciiTheme="majorHAnsi" w:hAnsiTheme="majorHAnsi" w:cstheme="majorHAnsi"/>
              <w:noProof/>
              <w:color w:val="000000"/>
              <w:sz w:val="20"/>
              <w:szCs w:val="20"/>
            </w:rPr>
            <w:t>1</w:t>
          </w:r>
          <w:r w:rsidRPr="00687420">
            <w:rPr>
              <w:rFonts w:asciiTheme="majorHAnsi" w:hAnsiTheme="majorHAnsi" w:cstheme="majorHAnsi"/>
              <w:color w:val="000000"/>
              <w:sz w:val="20"/>
              <w:szCs w:val="20"/>
            </w:rPr>
            <w:fldChar w:fldCharType="end"/>
          </w:r>
          <w:r w:rsidRPr="00687420">
            <w:rPr>
              <w:rFonts w:asciiTheme="majorHAnsi" w:hAnsiTheme="majorHAnsi" w:cstheme="majorHAnsi"/>
              <w:color w:val="000000"/>
              <w:sz w:val="20"/>
              <w:szCs w:val="20"/>
            </w:rPr>
            <w:t xml:space="preserve"> / </w:t>
          </w:r>
          <w:r w:rsidRPr="00687420">
            <w:rPr>
              <w:rFonts w:asciiTheme="majorHAnsi" w:hAnsiTheme="majorHAnsi" w:cstheme="majorHAnsi"/>
              <w:color w:val="000000"/>
              <w:sz w:val="20"/>
              <w:szCs w:val="20"/>
            </w:rPr>
            <w:fldChar w:fldCharType="begin"/>
          </w:r>
          <w:r w:rsidRPr="00687420">
            <w:rPr>
              <w:rFonts w:asciiTheme="majorHAnsi" w:hAnsiTheme="majorHAnsi" w:cstheme="majorHAnsi"/>
              <w:color w:val="000000"/>
              <w:sz w:val="20"/>
              <w:szCs w:val="20"/>
            </w:rPr>
            <w:instrText>NUMPAGES</w:instrText>
          </w:r>
          <w:r w:rsidRPr="00687420">
            <w:rPr>
              <w:rFonts w:asciiTheme="majorHAnsi" w:hAnsiTheme="majorHAnsi" w:cstheme="majorHAnsi"/>
              <w:color w:val="000000"/>
              <w:sz w:val="20"/>
              <w:szCs w:val="20"/>
            </w:rPr>
            <w:fldChar w:fldCharType="separate"/>
          </w:r>
          <w:r w:rsidR="00995A39">
            <w:rPr>
              <w:rFonts w:asciiTheme="majorHAnsi" w:hAnsiTheme="majorHAnsi" w:cstheme="majorHAnsi"/>
              <w:noProof/>
              <w:color w:val="000000"/>
              <w:sz w:val="20"/>
              <w:szCs w:val="20"/>
            </w:rPr>
            <w:t>1</w:t>
          </w:r>
          <w:r w:rsidRPr="00687420">
            <w:rPr>
              <w:rFonts w:asciiTheme="majorHAnsi" w:hAnsiTheme="majorHAnsi" w:cstheme="majorHAnsi"/>
              <w:color w:val="000000"/>
              <w:sz w:val="20"/>
              <w:szCs w:val="20"/>
            </w:rPr>
            <w:fldChar w:fldCharType="end"/>
          </w:r>
        </w:p>
      </w:tc>
    </w:tr>
  </w:tbl>
  <w:p w:rsidR="002863EC" w:rsidRDefault="002863EC">
    <w:pPr>
      <w:pBdr>
        <w:top w:val="nil"/>
        <w:left w:val="nil"/>
        <w:bottom w:val="nil"/>
        <w:right w:val="nil"/>
        <w:between w:val="nil"/>
      </w:pBdr>
      <w:tabs>
        <w:tab w:val="center" w:pos="4536"/>
        <w:tab w:val="right" w:pos="9072"/>
      </w:tabs>
      <w:rPr>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EC"/>
    <w:rsid w:val="0004283A"/>
    <w:rsid w:val="002863EC"/>
    <w:rsid w:val="00593261"/>
    <w:rsid w:val="00687420"/>
    <w:rsid w:val="00991D45"/>
    <w:rsid w:val="00995A39"/>
    <w:rsid w:val="00D339E2"/>
    <w:rsid w:val="00D438FF"/>
    <w:rsid w:val="00EB5301"/>
    <w:rsid w:val="00FF79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37B44B-7C16-4B2D-9040-794AF8C4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rPr>
  </w:style>
  <w:style w:type="paragraph" w:styleId="Balk5">
    <w:name w:val="heading 5"/>
    <w:basedOn w:val="Normal"/>
    <w:next w:val="Normal"/>
    <w:pPr>
      <w:keepNext/>
      <w:keepLines/>
      <w:spacing w:before="220" w:after="40"/>
      <w:outlineLvl w:val="4"/>
    </w:pPr>
    <w:rPr>
      <w:b/>
      <w:bCs/>
      <w:sz w:val="22"/>
      <w:szCs w:val="22"/>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stBilgi">
    <w:name w:val="header"/>
    <w:basedOn w:val="Normal"/>
    <w:link w:val="stBilgiChar"/>
    <w:uiPriority w:val="99"/>
    <w:unhideWhenUsed/>
    <w:rsid w:val="0004283A"/>
    <w:pPr>
      <w:tabs>
        <w:tab w:val="center" w:pos="4536"/>
        <w:tab w:val="right" w:pos="9072"/>
      </w:tabs>
    </w:pPr>
  </w:style>
  <w:style w:type="character" w:customStyle="1" w:styleId="stBilgiChar">
    <w:name w:val="Üst Bilgi Char"/>
    <w:basedOn w:val="VarsaylanParagrafYazTipi"/>
    <w:link w:val="stBilgi"/>
    <w:uiPriority w:val="99"/>
    <w:rsid w:val="0004283A"/>
  </w:style>
  <w:style w:type="paragraph" w:styleId="AltBilgi">
    <w:name w:val="footer"/>
    <w:basedOn w:val="Normal"/>
    <w:link w:val="AltBilgiChar"/>
    <w:uiPriority w:val="99"/>
    <w:unhideWhenUsed/>
    <w:rsid w:val="0004283A"/>
    <w:pPr>
      <w:tabs>
        <w:tab w:val="center" w:pos="4536"/>
        <w:tab w:val="right" w:pos="9072"/>
      </w:tabs>
    </w:pPr>
  </w:style>
  <w:style w:type="character" w:customStyle="1" w:styleId="AltBilgiChar">
    <w:name w:val="Alt Bilgi Char"/>
    <w:basedOn w:val="VarsaylanParagrafYazTipi"/>
    <w:link w:val="AltBilgi"/>
    <w:uiPriority w:val="99"/>
    <w:rsid w:val="00042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jgv7BM8j2+DWeapVHBZ/Pq/wnw==">CgMxLjAyD2lkLnY1dGFleWNibjBvMjIPaWQuNnV5eTRzaDV5ZmpsMg5oLmt4b290ZTJqZjk3ejgAciExWWs3X0xiWjhMeG1kc0VXdFJkc05oQjRkZ0dmWEZVTVY=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3314</Words>
  <Characters>18893</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 Inc.</cp:lastModifiedBy>
  <cp:revision>5</cp:revision>
  <dcterms:created xsi:type="dcterms:W3CDTF">2026-10-13T07:47:00Z</dcterms:created>
  <dcterms:modified xsi:type="dcterms:W3CDTF">2026-10-13T08:22:00Z</dcterms:modified>
</cp:coreProperties>
</file>